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285" w:rsidRPr="0035799B" w:rsidRDefault="00DF6285" w:rsidP="0035799B">
      <w:pPr>
        <w:pStyle w:val="Titre1"/>
        <w:jc w:val="center"/>
      </w:pPr>
      <w:bookmarkStart w:id="0" w:name="_Toc402372778"/>
      <w:proofErr w:type="spellStart"/>
      <w:r w:rsidRPr="0035799B">
        <w:t>Social</w:t>
      </w:r>
      <w:proofErr w:type="spellEnd"/>
      <w:r w:rsidRPr="0035799B">
        <w:t xml:space="preserve"> </w:t>
      </w:r>
      <w:proofErr w:type="spellStart"/>
      <w:r w:rsidRPr="0035799B">
        <w:t>learning</w:t>
      </w:r>
      <w:proofErr w:type="spellEnd"/>
      <w:r w:rsidRPr="0035799B">
        <w:t xml:space="preserve"> in </w:t>
      </w:r>
      <w:proofErr w:type="spellStart"/>
      <w:r w:rsidRPr="0035799B">
        <w:t>local</w:t>
      </w:r>
      <w:proofErr w:type="spellEnd"/>
      <w:r w:rsidRPr="0035799B">
        <w:t xml:space="preserve"> </w:t>
      </w:r>
      <w:proofErr w:type="spellStart"/>
      <w:r w:rsidRPr="0035799B">
        <w:t>food</w:t>
      </w:r>
      <w:proofErr w:type="spellEnd"/>
      <w:r w:rsidRPr="0035799B">
        <w:t xml:space="preserve"> </w:t>
      </w:r>
      <w:proofErr w:type="spellStart"/>
      <w:r w:rsidRPr="0035799B">
        <w:t>networks</w:t>
      </w:r>
      <w:bookmarkEnd w:id="0"/>
      <w:proofErr w:type="spellEnd"/>
    </w:p>
    <w:p w:rsidR="00DF6285" w:rsidRPr="0035799B" w:rsidRDefault="00DF6285" w:rsidP="00DF6285">
      <w:pPr>
        <w:rPr>
          <w:rFonts w:ascii="Arial" w:hAnsi="Arial" w:cs="Arial"/>
          <w:sz w:val="22"/>
          <w:szCs w:val="22"/>
          <w:lang w:val="en-GB"/>
        </w:rPr>
      </w:pPr>
    </w:p>
    <w:p w:rsidR="00692A07" w:rsidRPr="00692A07" w:rsidRDefault="00692A07" w:rsidP="00057B2A">
      <w:pPr>
        <w:jc w:val="center"/>
        <w:rPr>
          <w:rFonts w:ascii="Arial" w:hAnsi="Arial" w:cs="Arial"/>
          <w:b/>
          <w:sz w:val="22"/>
          <w:szCs w:val="22"/>
          <w:lang w:val="en-GB"/>
        </w:rPr>
      </w:pPr>
      <w:r w:rsidRPr="00692A07">
        <w:rPr>
          <w:rFonts w:ascii="Arial" w:hAnsi="Arial" w:cs="Arial"/>
          <w:b/>
          <w:sz w:val="22"/>
          <w:szCs w:val="22"/>
          <w:lang w:val="en-GB"/>
        </w:rPr>
        <w:t>Proposed contribution to the 2</w:t>
      </w:r>
      <w:r w:rsidRPr="00692A07">
        <w:rPr>
          <w:rFonts w:ascii="Arial" w:hAnsi="Arial" w:cs="Arial"/>
          <w:b/>
          <w:sz w:val="22"/>
          <w:szCs w:val="22"/>
          <w:vertAlign w:val="superscript"/>
          <w:lang w:val="en-GB"/>
        </w:rPr>
        <w:t>nd</w:t>
      </w:r>
      <w:r w:rsidRPr="00692A07">
        <w:rPr>
          <w:rFonts w:ascii="Arial" w:hAnsi="Arial" w:cs="Arial"/>
          <w:b/>
          <w:sz w:val="22"/>
          <w:szCs w:val="22"/>
          <w:lang w:val="en-GB"/>
        </w:rPr>
        <w:t xml:space="preserve"> Interdisciplinary Symposium on Sustainable Development</w:t>
      </w:r>
    </w:p>
    <w:p w:rsidR="00692A07" w:rsidRPr="00692A07" w:rsidRDefault="00692A07" w:rsidP="00DF6285">
      <w:pPr>
        <w:rPr>
          <w:rFonts w:ascii="Arial" w:hAnsi="Arial" w:cs="Arial"/>
          <w:b/>
          <w:sz w:val="22"/>
          <w:szCs w:val="22"/>
          <w:lang w:val="en-GB"/>
        </w:rPr>
      </w:pPr>
    </w:p>
    <w:p w:rsidR="00DF6285" w:rsidRPr="0035799B" w:rsidRDefault="0035799B" w:rsidP="00DF6285">
      <w:pPr>
        <w:rPr>
          <w:rFonts w:ascii="Arial" w:hAnsi="Arial" w:cs="Arial"/>
          <w:sz w:val="22"/>
          <w:szCs w:val="22"/>
          <w:lang w:val="fr-BE"/>
        </w:rPr>
      </w:pPr>
      <w:r w:rsidRPr="0035799B">
        <w:rPr>
          <w:rFonts w:ascii="Arial" w:hAnsi="Arial" w:cs="Arial"/>
          <w:sz w:val="22"/>
          <w:szCs w:val="22"/>
          <w:lang w:val="fr-BE"/>
        </w:rPr>
        <w:t xml:space="preserve">Auteurs: </w:t>
      </w:r>
      <w:r w:rsidR="00DF6285" w:rsidRPr="0035799B">
        <w:rPr>
          <w:rFonts w:ascii="Arial" w:hAnsi="Arial" w:cs="Arial"/>
          <w:sz w:val="22"/>
          <w:szCs w:val="22"/>
          <w:lang w:val="fr-BE"/>
        </w:rPr>
        <w:t xml:space="preserve">Thomas </w:t>
      </w:r>
      <w:proofErr w:type="spellStart"/>
      <w:r w:rsidR="00DF6285" w:rsidRPr="0035799B">
        <w:rPr>
          <w:rFonts w:ascii="Arial" w:hAnsi="Arial" w:cs="Arial"/>
          <w:sz w:val="22"/>
          <w:szCs w:val="22"/>
          <w:lang w:val="fr-BE"/>
        </w:rPr>
        <w:t>Bleeckx</w:t>
      </w:r>
      <w:proofErr w:type="spellEnd"/>
      <w:r w:rsidR="00DF6285" w:rsidRPr="0035799B">
        <w:rPr>
          <w:rFonts w:ascii="Arial" w:hAnsi="Arial" w:cs="Arial"/>
          <w:sz w:val="22"/>
          <w:szCs w:val="22"/>
          <w:lang w:val="fr-BE"/>
        </w:rPr>
        <w:t xml:space="preserve">, Tom </w:t>
      </w:r>
      <w:proofErr w:type="spellStart"/>
      <w:r w:rsidR="00DF6285" w:rsidRPr="0035799B">
        <w:rPr>
          <w:rFonts w:ascii="Arial" w:hAnsi="Arial" w:cs="Arial"/>
          <w:sz w:val="22"/>
          <w:szCs w:val="22"/>
          <w:lang w:val="fr-BE"/>
        </w:rPr>
        <w:t>Dedeurwaerdere</w:t>
      </w:r>
      <w:proofErr w:type="spellEnd"/>
      <w:r w:rsidR="00DF6285" w:rsidRPr="0035799B">
        <w:rPr>
          <w:rFonts w:ascii="Arial" w:hAnsi="Arial" w:cs="Arial"/>
          <w:sz w:val="22"/>
          <w:szCs w:val="22"/>
          <w:lang w:val="fr-BE"/>
        </w:rPr>
        <w:t xml:space="preserve">, Charlotte de </w:t>
      </w:r>
      <w:proofErr w:type="spellStart"/>
      <w:r w:rsidR="00DF6285" w:rsidRPr="0035799B">
        <w:rPr>
          <w:rFonts w:ascii="Arial" w:hAnsi="Arial" w:cs="Arial"/>
          <w:sz w:val="22"/>
          <w:szCs w:val="22"/>
          <w:lang w:val="fr-BE"/>
        </w:rPr>
        <w:t>Callatay</w:t>
      </w:r>
      <w:proofErr w:type="spellEnd"/>
      <w:r w:rsidR="00DF6285" w:rsidRPr="0035799B">
        <w:rPr>
          <w:rFonts w:ascii="Arial" w:hAnsi="Arial" w:cs="Arial"/>
          <w:sz w:val="22"/>
          <w:szCs w:val="22"/>
          <w:lang w:val="fr-BE"/>
        </w:rPr>
        <w:t xml:space="preserve">, Paula Fernandez </w:t>
      </w:r>
      <w:proofErr w:type="spellStart"/>
      <w:r w:rsidR="00DF6285" w:rsidRPr="0035799B">
        <w:rPr>
          <w:rFonts w:ascii="Arial" w:hAnsi="Arial" w:cs="Arial"/>
          <w:sz w:val="22"/>
          <w:szCs w:val="22"/>
          <w:lang w:val="fr-BE"/>
        </w:rPr>
        <w:t>Wulff</w:t>
      </w:r>
      <w:proofErr w:type="spellEnd"/>
      <w:r w:rsidR="00DF6285" w:rsidRPr="0035799B">
        <w:rPr>
          <w:rFonts w:ascii="Arial" w:hAnsi="Arial" w:cs="Arial"/>
          <w:sz w:val="22"/>
          <w:szCs w:val="22"/>
          <w:lang w:val="fr-BE"/>
        </w:rPr>
        <w:t xml:space="preserve">, Jose-Luis </w:t>
      </w:r>
      <w:proofErr w:type="spellStart"/>
      <w:r w:rsidR="00DF6285" w:rsidRPr="0035799B">
        <w:rPr>
          <w:rFonts w:ascii="Arial" w:hAnsi="Arial" w:cs="Arial"/>
          <w:sz w:val="22"/>
          <w:szCs w:val="22"/>
          <w:lang w:val="fr-BE"/>
        </w:rPr>
        <w:t>Vivero</w:t>
      </w:r>
      <w:proofErr w:type="spellEnd"/>
    </w:p>
    <w:p w:rsidR="00DF6285" w:rsidRPr="0035799B" w:rsidRDefault="00DF6285" w:rsidP="00DF6285">
      <w:pPr>
        <w:rPr>
          <w:rFonts w:ascii="Arial" w:hAnsi="Arial" w:cs="Arial"/>
          <w:sz w:val="22"/>
          <w:szCs w:val="22"/>
          <w:lang w:val="fr-BE"/>
        </w:rPr>
      </w:pPr>
    </w:p>
    <w:p w:rsidR="00DF6285" w:rsidRPr="0035799B" w:rsidRDefault="00DF6285" w:rsidP="00DF6285">
      <w:pPr>
        <w:rPr>
          <w:rFonts w:ascii="Arial" w:hAnsi="Arial" w:cs="Arial"/>
          <w:sz w:val="22"/>
          <w:szCs w:val="22"/>
          <w:lang w:val="fr-BE"/>
        </w:rPr>
      </w:pPr>
      <w:r w:rsidRPr="0035799B">
        <w:rPr>
          <w:rFonts w:ascii="Arial" w:hAnsi="Arial" w:cs="Arial"/>
          <w:sz w:val="22"/>
          <w:szCs w:val="22"/>
          <w:lang w:val="fr-BE"/>
        </w:rPr>
        <w:t xml:space="preserve">Auteur pour la </w:t>
      </w:r>
      <w:proofErr w:type="spellStart"/>
      <w:r w:rsidRPr="0035799B">
        <w:rPr>
          <w:rFonts w:ascii="Arial" w:hAnsi="Arial" w:cs="Arial"/>
          <w:sz w:val="22"/>
          <w:szCs w:val="22"/>
          <w:lang w:val="fr-BE"/>
        </w:rPr>
        <w:t>correspondence</w:t>
      </w:r>
      <w:proofErr w:type="spellEnd"/>
      <w:r w:rsidRPr="0035799B">
        <w:rPr>
          <w:rFonts w:ascii="Arial" w:hAnsi="Arial" w:cs="Arial"/>
          <w:sz w:val="22"/>
          <w:szCs w:val="22"/>
          <w:lang w:val="fr-BE"/>
        </w:rPr>
        <w:t xml:space="preserve">: Tom </w:t>
      </w:r>
      <w:proofErr w:type="spellStart"/>
      <w:r w:rsidRPr="0035799B">
        <w:rPr>
          <w:rFonts w:ascii="Arial" w:hAnsi="Arial" w:cs="Arial"/>
          <w:sz w:val="22"/>
          <w:szCs w:val="22"/>
          <w:lang w:val="fr-BE"/>
        </w:rPr>
        <w:t>Dedeurwaerdere</w:t>
      </w:r>
      <w:proofErr w:type="spellEnd"/>
    </w:p>
    <w:p w:rsidR="00DF6285" w:rsidRPr="0035799B" w:rsidRDefault="00DF6285" w:rsidP="00DF6285">
      <w:pPr>
        <w:rPr>
          <w:rFonts w:ascii="Arial" w:hAnsi="Arial" w:cs="Arial"/>
          <w:sz w:val="22"/>
          <w:szCs w:val="22"/>
          <w:lang w:val="fr-BE"/>
        </w:rPr>
      </w:pPr>
    </w:p>
    <w:p w:rsidR="0035799B" w:rsidRPr="0035799B" w:rsidRDefault="0035799B" w:rsidP="00DF6285">
      <w:pPr>
        <w:rPr>
          <w:rFonts w:ascii="Arial" w:hAnsi="Arial" w:cs="Arial"/>
          <w:sz w:val="22"/>
          <w:szCs w:val="22"/>
          <w:lang w:val="fr-BE"/>
        </w:rPr>
      </w:pPr>
      <w:r w:rsidRPr="0035799B">
        <w:rPr>
          <w:rFonts w:ascii="Arial" w:hAnsi="Arial" w:cs="Arial"/>
          <w:sz w:val="22"/>
          <w:szCs w:val="22"/>
          <w:lang w:val="fr-BE"/>
        </w:rPr>
        <w:t>Affiliations institutionnelles : Université catholique de Louvain</w:t>
      </w:r>
    </w:p>
    <w:p w:rsidR="0035799B" w:rsidRPr="0035799B" w:rsidRDefault="0035799B" w:rsidP="00DF6285">
      <w:pPr>
        <w:rPr>
          <w:rFonts w:ascii="Arial" w:hAnsi="Arial" w:cs="Arial"/>
          <w:sz w:val="22"/>
          <w:szCs w:val="22"/>
          <w:lang w:val="fr-BE"/>
        </w:rPr>
      </w:pPr>
    </w:p>
    <w:p w:rsidR="00DF6285" w:rsidRPr="0035799B" w:rsidRDefault="0035799B" w:rsidP="00DF6285">
      <w:pPr>
        <w:rPr>
          <w:rFonts w:ascii="Arial" w:hAnsi="Arial" w:cs="Arial"/>
          <w:sz w:val="22"/>
          <w:szCs w:val="22"/>
          <w:lang w:val="fr-BE"/>
        </w:rPr>
      </w:pPr>
      <w:r w:rsidRPr="0035799B">
        <w:rPr>
          <w:rFonts w:ascii="Arial" w:hAnsi="Arial" w:cs="Arial"/>
          <w:sz w:val="22"/>
          <w:szCs w:val="22"/>
          <w:lang w:val="fr-BE"/>
        </w:rPr>
        <w:t>Contacts et f</w:t>
      </w:r>
      <w:r w:rsidR="00DF6285" w:rsidRPr="0035799B">
        <w:rPr>
          <w:rFonts w:ascii="Arial" w:hAnsi="Arial" w:cs="Arial"/>
          <w:sz w:val="22"/>
          <w:szCs w:val="22"/>
          <w:lang w:val="fr-BE"/>
        </w:rPr>
        <w:t>ormations disciplinaires</w:t>
      </w:r>
    </w:p>
    <w:p w:rsidR="00DF6285" w:rsidRPr="0035799B" w:rsidRDefault="00DF6285" w:rsidP="00DF6285">
      <w:pPr>
        <w:rPr>
          <w:rFonts w:ascii="Arial" w:hAnsi="Arial" w:cs="Arial"/>
          <w:sz w:val="22"/>
          <w:szCs w:val="22"/>
          <w:lang w:val="fr-BE"/>
        </w:rPr>
      </w:pPr>
      <w:r w:rsidRPr="0035799B">
        <w:rPr>
          <w:rFonts w:ascii="Arial" w:hAnsi="Arial" w:cs="Arial"/>
          <w:sz w:val="22"/>
          <w:szCs w:val="22"/>
          <w:lang w:val="fr-BE"/>
        </w:rPr>
        <w:t xml:space="preserve">Thomas </w:t>
      </w:r>
      <w:proofErr w:type="spellStart"/>
      <w:r w:rsidRPr="0035799B">
        <w:rPr>
          <w:rFonts w:ascii="Arial" w:hAnsi="Arial" w:cs="Arial"/>
          <w:sz w:val="22"/>
          <w:szCs w:val="22"/>
          <w:lang w:val="fr-BE"/>
        </w:rPr>
        <w:t>Bleeckx</w:t>
      </w:r>
      <w:proofErr w:type="spellEnd"/>
      <w:r w:rsidR="0035799B" w:rsidRPr="0035799B">
        <w:rPr>
          <w:rFonts w:ascii="Arial" w:hAnsi="Arial" w:cs="Arial"/>
          <w:sz w:val="22"/>
          <w:szCs w:val="22"/>
          <w:lang w:val="fr-BE"/>
        </w:rPr>
        <w:t>, thomas.bleeckx@uclouvain.be</w:t>
      </w:r>
      <w:r w:rsidRPr="0035799B">
        <w:rPr>
          <w:rFonts w:ascii="Arial" w:hAnsi="Arial" w:cs="Arial"/>
          <w:sz w:val="22"/>
          <w:szCs w:val="22"/>
          <w:lang w:val="fr-BE"/>
        </w:rPr>
        <w:t> : ingénieur agronome</w:t>
      </w:r>
    </w:p>
    <w:p w:rsidR="00DF6285" w:rsidRPr="0035799B" w:rsidRDefault="00DF6285" w:rsidP="00DF6285">
      <w:pPr>
        <w:rPr>
          <w:rFonts w:ascii="Arial" w:hAnsi="Arial" w:cs="Arial"/>
          <w:sz w:val="22"/>
          <w:szCs w:val="22"/>
          <w:lang w:val="fr-BE"/>
        </w:rPr>
      </w:pPr>
      <w:r w:rsidRPr="0035799B">
        <w:rPr>
          <w:rFonts w:ascii="Arial" w:hAnsi="Arial" w:cs="Arial"/>
          <w:sz w:val="22"/>
          <w:szCs w:val="22"/>
          <w:lang w:val="fr-BE"/>
        </w:rPr>
        <w:t xml:space="preserve">Tom </w:t>
      </w:r>
      <w:proofErr w:type="spellStart"/>
      <w:r w:rsidRPr="0035799B">
        <w:rPr>
          <w:rFonts w:ascii="Arial" w:hAnsi="Arial" w:cs="Arial"/>
          <w:sz w:val="22"/>
          <w:szCs w:val="22"/>
          <w:lang w:val="fr-BE"/>
        </w:rPr>
        <w:t>Dedeurwaerdere</w:t>
      </w:r>
      <w:proofErr w:type="spellEnd"/>
      <w:r w:rsidR="0035799B" w:rsidRPr="0035799B">
        <w:rPr>
          <w:rFonts w:ascii="Arial" w:hAnsi="Arial" w:cs="Arial"/>
          <w:sz w:val="22"/>
          <w:szCs w:val="22"/>
          <w:lang w:val="fr-BE"/>
        </w:rPr>
        <w:t>, tom.dedeurwaerdere@uclouvain.be</w:t>
      </w:r>
      <w:r w:rsidRPr="0035799B">
        <w:rPr>
          <w:rFonts w:ascii="Arial" w:hAnsi="Arial" w:cs="Arial"/>
          <w:sz w:val="22"/>
          <w:szCs w:val="22"/>
          <w:lang w:val="fr-BE"/>
        </w:rPr>
        <w:t> :</w:t>
      </w:r>
      <w:r w:rsidR="0035799B" w:rsidRPr="0035799B">
        <w:rPr>
          <w:rFonts w:ascii="Arial" w:hAnsi="Arial" w:cs="Arial"/>
          <w:sz w:val="22"/>
          <w:szCs w:val="22"/>
          <w:lang w:val="fr-BE"/>
        </w:rPr>
        <w:t xml:space="preserve"> ingénieur civil et doctorat en philosophe</w:t>
      </w:r>
      <w:r w:rsidRPr="0035799B">
        <w:rPr>
          <w:rFonts w:ascii="Arial" w:hAnsi="Arial" w:cs="Arial"/>
          <w:sz w:val="22"/>
          <w:szCs w:val="22"/>
          <w:lang w:val="fr-BE"/>
        </w:rPr>
        <w:t xml:space="preserve"> </w:t>
      </w:r>
    </w:p>
    <w:p w:rsidR="00DF6285" w:rsidRPr="0035799B" w:rsidRDefault="00DF6285" w:rsidP="00DF6285">
      <w:pPr>
        <w:rPr>
          <w:rFonts w:ascii="Arial" w:hAnsi="Arial" w:cs="Arial"/>
          <w:sz w:val="22"/>
          <w:szCs w:val="22"/>
          <w:lang w:val="fr-BE"/>
        </w:rPr>
      </w:pPr>
      <w:r w:rsidRPr="0035799B">
        <w:rPr>
          <w:rFonts w:ascii="Arial" w:hAnsi="Arial" w:cs="Arial"/>
          <w:sz w:val="22"/>
          <w:szCs w:val="22"/>
          <w:lang w:val="fr-BE"/>
        </w:rPr>
        <w:t xml:space="preserve">Charlotte de </w:t>
      </w:r>
      <w:proofErr w:type="spellStart"/>
      <w:r w:rsidRPr="0035799B">
        <w:rPr>
          <w:rFonts w:ascii="Arial" w:hAnsi="Arial" w:cs="Arial"/>
          <w:sz w:val="22"/>
          <w:szCs w:val="22"/>
          <w:lang w:val="fr-BE"/>
        </w:rPr>
        <w:t>Callatay</w:t>
      </w:r>
      <w:proofErr w:type="spellEnd"/>
      <w:r w:rsidRPr="0035799B">
        <w:rPr>
          <w:rFonts w:ascii="Arial" w:hAnsi="Arial" w:cs="Arial"/>
          <w:sz w:val="22"/>
          <w:szCs w:val="22"/>
          <w:lang w:val="fr-BE"/>
        </w:rPr>
        <w:t>, cha_decallatay@hotmail.com : droit</w:t>
      </w:r>
    </w:p>
    <w:p w:rsidR="00DF6285" w:rsidRPr="0035799B" w:rsidRDefault="0035799B" w:rsidP="00DF6285">
      <w:pPr>
        <w:rPr>
          <w:rFonts w:ascii="Arial" w:hAnsi="Arial" w:cs="Arial"/>
          <w:sz w:val="22"/>
          <w:szCs w:val="22"/>
          <w:lang w:val="fr-BE"/>
        </w:rPr>
      </w:pPr>
      <w:r w:rsidRPr="0035799B">
        <w:rPr>
          <w:rFonts w:ascii="Arial" w:hAnsi="Arial" w:cs="Arial"/>
          <w:sz w:val="22"/>
          <w:szCs w:val="22"/>
          <w:lang w:val="fr-BE"/>
        </w:rPr>
        <w:t>Paula Fernandez-</w:t>
      </w:r>
      <w:proofErr w:type="spellStart"/>
      <w:r w:rsidR="00DF6285" w:rsidRPr="0035799B">
        <w:rPr>
          <w:rFonts w:ascii="Arial" w:hAnsi="Arial" w:cs="Arial"/>
          <w:sz w:val="22"/>
          <w:szCs w:val="22"/>
          <w:lang w:val="fr-BE"/>
        </w:rPr>
        <w:t>Wulff</w:t>
      </w:r>
      <w:proofErr w:type="spellEnd"/>
      <w:r w:rsidRPr="0035799B">
        <w:rPr>
          <w:rFonts w:ascii="Arial" w:hAnsi="Arial" w:cs="Arial"/>
          <w:sz w:val="22"/>
          <w:szCs w:val="22"/>
          <w:lang w:val="fr-BE"/>
        </w:rPr>
        <w:t>, paula.fdezwulff@gmail.com</w:t>
      </w:r>
      <w:r w:rsidR="00DF6285" w:rsidRPr="0035799B">
        <w:rPr>
          <w:rFonts w:ascii="Arial" w:hAnsi="Arial" w:cs="Arial"/>
          <w:sz w:val="22"/>
          <w:szCs w:val="22"/>
          <w:lang w:val="fr-BE"/>
        </w:rPr>
        <w:t> : droit et sciences politiques</w:t>
      </w:r>
    </w:p>
    <w:p w:rsidR="00DF6285" w:rsidRPr="0035799B" w:rsidRDefault="00DF6285" w:rsidP="00DF6285">
      <w:pPr>
        <w:rPr>
          <w:rFonts w:ascii="Arial" w:hAnsi="Arial" w:cs="Arial"/>
          <w:sz w:val="22"/>
          <w:szCs w:val="22"/>
          <w:lang w:val="fr-BE"/>
        </w:rPr>
      </w:pPr>
      <w:r w:rsidRPr="0035799B">
        <w:rPr>
          <w:rFonts w:ascii="Arial" w:hAnsi="Arial" w:cs="Arial"/>
          <w:sz w:val="22"/>
          <w:szCs w:val="22"/>
          <w:lang w:val="fr-BE"/>
        </w:rPr>
        <w:t xml:space="preserve">Jose-Luis </w:t>
      </w:r>
      <w:proofErr w:type="spellStart"/>
      <w:r w:rsidRPr="0035799B">
        <w:rPr>
          <w:rFonts w:ascii="Arial" w:hAnsi="Arial" w:cs="Arial"/>
          <w:sz w:val="22"/>
          <w:szCs w:val="22"/>
          <w:lang w:val="fr-BE"/>
        </w:rPr>
        <w:t>Vivero</w:t>
      </w:r>
      <w:proofErr w:type="spellEnd"/>
      <w:r w:rsidR="0035799B" w:rsidRPr="0035799B">
        <w:rPr>
          <w:rFonts w:ascii="Arial" w:hAnsi="Arial" w:cs="Arial"/>
          <w:sz w:val="22"/>
          <w:szCs w:val="22"/>
          <w:lang w:val="fr-BE"/>
        </w:rPr>
        <w:t>, jose-luis.viveropol@uclouvain.be</w:t>
      </w:r>
      <w:r w:rsidRPr="0035799B">
        <w:rPr>
          <w:rFonts w:ascii="Arial" w:hAnsi="Arial" w:cs="Arial"/>
          <w:sz w:val="22"/>
          <w:szCs w:val="22"/>
          <w:lang w:val="fr-BE"/>
        </w:rPr>
        <w:t> : ingénieur agronome</w:t>
      </w:r>
    </w:p>
    <w:p w:rsidR="00DF6285" w:rsidRPr="0035799B" w:rsidRDefault="00DF6285" w:rsidP="00DF6285">
      <w:pPr>
        <w:rPr>
          <w:rFonts w:ascii="Arial" w:hAnsi="Arial" w:cs="Arial"/>
          <w:sz w:val="22"/>
          <w:szCs w:val="22"/>
          <w:lang w:val="fr-BE"/>
        </w:rPr>
      </w:pPr>
    </w:p>
    <w:p w:rsidR="00DF6285" w:rsidRPr="0035799B" w:rsidRDefault="00DF6285" w:rsidP="00DF6285">
      <w:pPr>
        <w:rPr>
          <w:rFonts w:ascii="Arial" w:hAnsi="Arial" w:cs="Arial"/>
          <w:sz w:val="22"/>
          <w:szCs w:val="22"/>
          <w:lang w:val="fr-BE"/>
        </w:rPr>
      </w:pPr>
      <w:r w:rsidRPr="0035799B">
        <w:rPr>
          <w:rFonts w:ascii="Arial" w:hAnsi="Arial" w:cs="Arial"/>
          <w:sz w:val="22"/>
          <w:szCs w:val="22"/>
          <w:lang w:val="fr-BE"/>
        </w:rPr>
        <w:t>Thème choisi : alimentation, agriculture, élevage</w:t>
      </w:r>
    </w:p>
    <w:p w:rsidR="00DF6285" w:rsidRPr="0035799B" w:rsidRDefault="00DF6285" w:rsidP="00DF6285">
      <w:pPr>
        <w:rPr>
          <w:rFonts w:ascii="Arial" w:hAnsi="Arial" w:cs="Arial"/>
          <w:sz w:val="22"/>
          <w:szCs w:val="22"/>
          <w:lang w:val="fr-BE"/>
        </w:rPr>
      </w:pPr>
    </w:p>
    <w:p w:rsidR="00DF6285" w:rsidRPr="0035799B" w:rsidRDefault="00DF6285" w:rsidP="0035799B">
      <w:pPr>
        <w:pStyle w:val="Titre2"/>
      </w:pPr>
      <w:proofErr w:type="spellStart"/>
      <w:r w:rsidRPr="0035799B">
        <w:t>Introduction</w:t>
      </w:r>
      <w:proofErr w:type="spellEnd"/>
      <w:r w:rsidRPr="0035799B">
        <w:t xml:space="preserve">: </w:t>
      </w:r>
      <w:proofErr w:type="spellStart"/>
      <w:r w:rsidRPr="0035799B">
        <w:t>the</w:t>
      </w:r>
      <w:proofErr w:type="spellEnd"/>
      <w:r w:rsidRPr="0035799B">
        <w:t xml:space="preserve"> </w:t>
      </w:r>
      <w:proofErr w:type="spellStart"/>
      <w:r w:rsidRPr="0035799B">
        <w:t>role</w:t>
      </w:r>
      <w:proofErr w:type="spellEnd"/>
      <w:r w:rsidRPr="0035799B">
        <w:t xml:space="preserve"> </w:t>
      </w:r>
      <w:proofErr w:type="spellStart"/>
      <w:r w:rsidRPr="0035799B">
        <w:t>of</w:t>
      </w:r>
      <w:proofErr w:type="spellEnd"/>
      <w:r w:rsidRPr="0035799B">
        <w:t xml:space="preserve"> </w:t>
      </w:r>
      <w:proofErr w:type="spellStart"/>
      <w:r w:rsidRPr="0035799B">
        <w:t>collaborative</w:t>
      </w:r>
      <w:proofErr w:type="spellEnd"/>
      <w:r w:rsidRPr="0035799B">
        <w:t xml:space="preserve"> </w:t>
      </w:r>
      <w:proofErr w:type="spellStart"/>
      <w:r w:rsidRPr="0035799B">
        <w:t>networks</w:t>
      </w:r>
      <w:proofErr w:type="spellEnd"/>
      <w:r w:rsidRPr="0035799B">
        <w:t xml:space="preserve"> in </w:t>
      </w:r>
      <w:proofErr w:type="spellStart"/>
      <w:r w:rsidRPr="0035799B">
        <w:t>the</w:t>
      </w:r>
      <w:proofErr w:type="spellEnd"/>
      <w:r w:rsidRPr="0035799B">
        <w:t xml:space="preserve"> </w:t>
      </w:r>
      <w:proofErr w:type="spellStart"/>
      <w:r w:rsidRPr="0035799B">
        <w:t>up-scaling</w:t>
      </w:r>
      <w:proofErr w:type="spellEnd"/>
      <w:r w:rsidRPr="0035799B">
        <w:t xml:space="preserve"> </w:t>
      </w:r>
      <w:proofErr w:type="spellStart"/>
      <w:r w:rsidRPr="0035799B">
        <w:t>of</w:t>
      </w:r>
      <w:proofErr w:type="spellEnd"/>
      <w:r w:rsidRPr="0035799B">
        <w:t xml:space="preserve"> </w:t>
      </w:r>
      <w:proofErr w:type="spellStart"/>
      <w:r w:rsidRPr="0035799B">
        <w:t>food</w:t>
      </w:r>
      <w:proofErr w:type="spellEnd"/>
      <w:r w:rsidRPr="0035799B">
        <w:t xml:space="preserve"> </w:t>
      </w:r>
      <w:proofErr w:type="spellStart"/>
      <w:r w:rsidRPr="0035799B">
        <w:t>transition</w:t>
      </w:r>
      <w:proofErr w:type="spellEnd"/>
      <w:r w:rsidRPr="0035799B">
        <w:t xml:space="preserve"> initiatives </w:t>
      </w:r>
    </w:p>
    <w:p w:rsidR="00DF6285" w:rsidRPr="0035799B" w:rsidRDefault="00DF6285" w:rsidP="00DF6285">
      <w:pPr>
        <w:spacing w:before="120" w:line="276" w:lineRule="auto"/>
        <w:jc w:val="both"/>
        <w:rPr>
          <w:rFonts w:ascii="Arial" w:hAnsi="Arial" w:cs="Arial"/>
          <w:sz w:val="22"/>
          <w:szCs w:val="22"/>
          <w:lang w:val="en-GB"/>
        </w:rPr>
      </w:pPr>
      <w:r w:rsidRPr="0035799B">
        <w:rPr>
          <w:rFonts w:ascii="Arial" w:hAnsi="Arial" w:cs="Arial"/>
          <w:sz w:val="22"/>
          <w:szCs w:val="22"/>
          <w:lang w:val="en-GB"/>
        </w:rPr>
        <w:t xml:space="preserve">There are numerous examples of initiatives in the agro-food system that are organized in networks and that are effective to put in place real changes towards sustainability. For instance, the LEADER II projects in </w:t>
      </w:r>
      <w:proofErr w:type="spellStart"/>
      <w:r w:rsidRPr="0035799B">
        <w:rPr>
          <w:rFonts w:ascii="Arial" w:hAnsi="Arial" w:cs="Arial"/>
          <w:sz w:val="22"/>
          <w:szCs w:val="22"/>
          <w:lang w:val="en-GB"/>
        </w:rPr>
        <w:t>Nothern</w:t>
      </w:r>
      <w:proofErr w:type="spellEnd"/>
      <w:r w:rsidRPr="0035799B">
        <w:rPr>
          <w:rFonts w:ascii="Arial" w:hAnsi="Arial" w:cs="Arial"/>
          <w:sz w:val="22"/>
          <w:szCs w:val="22"/>
          <w:lang w:val="en-GB"/>
        </w:rPr>
        <w:t xml:space="preserve"> Ireland involve local </w:t>
      </w:r>
      <w:proofErr w:type="spellStart"/>
      <w:r w:rsidRPr="0035799B">
        <w:rPr>
          <w:rFonts w:ascii="Arial" w:hAnsi="Arial" w:cs="Arial"/>
          <w:sz w:val="22"/>
          <w:szCs w:val="22"/>
          <w:lang w:val="en-GB"/>
        </w:rPr>
        <w:t>peple</w:t>
      </w:r>
      <w:proofErr w:type="spellEnd"/>
      <w:r w:rsidRPr="0035799B">
        <w:rPr>
          <w:rFonts w:ascii="Arial" w:hAnsi="Arial" w:cs="Arial"/>
          <w:sz w:val="22"/>
          <w:szCs w:val="22"/>
          <w:lang w:val="en-GB"/>
        </w:rPr>
        <w:t xml:space="preserve"> by public–private–voluntary sector partnerships. These projects enabled to build a shared knowledge and understanding, and to develop the capacity among stakeholders to work together locally to solve common problems, involving a shift from single-sector agricultural support to a wider multi-</w:t>
      </w:r>
      <w:proofErr w:type="spellStart"/>
      <w:r w:rsidRPr="0035799B">
        <w:rPr>
          <w:rFonts w:ascii="Arial" w:hAnsi="Arial" w:cs="Arial"/>
          <w:sz w:val="22"/>
          <w:szCs w:val="22"/>
          <w:lang w:val="en-GB"/>
        </w:rPr>
        <w:t>sectoral</w:t>
      </w:r>
      <w:proofErr w:type="spellEnd"/>
      <w:r w:rsidRPr="0035799B">
        <w:rPr>
          <w:rFonts w:ascii="Arial" w:hAnsi="Arial" w:cs="Arial"/>
          <w:sz w:val="22"/>
          <w:szCs w:val="22"/>
          <w:lang w:val="en-GB"/>
        </w:rPr>
        <w:t xml:space="preserve"> approach for the rural economy (Scott 2004). Organic </w:t>
      </w:r>
      <w:proofErr w:type="gramStart"/>
      <w:r w:rsidRPr="0035799B">
        <w:rPr>
          <w:rFonts w:ascii="Arial" w:hAnsi="Arial" w:cs="Arial"/>
          <w:sz w:val="22"/>
          <w:szCs w:val="22"/>
          <w:lang w:val="en-GB"/>
        </w:rPr>
        <w:t>farmers</w:t>
      </w:r>
      <w:proofErr w:type="gramEnd"/>
      <w:r w:rsidRPr="0035799B">
        <w:rPr>
          <w:rFonts w:ascii="Arial" w:hAnsi="Arial" w:cs="Arial"/>
          <w:sz w:val="22"/>
          <w:szCs w:val="22"/>
          <w:lang w:val="en-GB"/>
        </w:rPr>
        <w:t xml:space="preserve"> networks in New York State are organized to share organic knowledge and practices between farmers and scientists. In the study of </w:t>
      </w:r>
      <w:proofErr w:type="spellStart"/>
      <w:r w:rsidRPr="0035799B">
        <w:rPr>
          <w:rFonts w:ascii="Arial" w:hAnsi="Arial" w:cs="Arial"/>
          <w:sz w:val="22"/>
          <w:szCs w:val="22"/>
          <w:lang w:val="en-GB"/>
        </w:rPr>
        <w:t>Kroma</w:t>
      </w:r>
      <w:proofErr w:type="spellEnd"/>
      <w:r w:rsidRPr="0035799B">
        <w:rPr>
          <w:rFonts w:ascii="Arial" w:hAnsi="Arial" w:cs="Arial"/>
          <w:sz w:val="22"/>
          <w:szCs w:val="22"/>
          <w:lang w:val="en-GB"/>
        </w:rPr>
        <w:t xml:space="preserve"> (2006), farmers indicated that networks helped them to benefit from cooperative extension services in the region or gave them tools to innovate. They also developed capacities with other farmers to manage change through new knowledge on alternative agriculture (</w:t>
      </w:r>
      <w:proofErr w:type="spellStart"/>
      <w:r w:rsidRPr="0035799B">
        <w:rPr>
          <w:rFonts w:ascii="Arial" w:hAnsi="Arial" w:cs="Arial"/>
          <w:sz w:val="22"/>
          <w:szCs w:val="22"/>
          <w:lang w:val="en-GB"/>
        </w:rPr>
        <w:t>Kroma</w:t>
      </w:r>
      <w:proofErr w:type="spellEnd"/>
      <w:r w:rsidRPr="0035799B">
        <w:rPr>
          <w:rFonts w:ascii="Arial" w:hAnsi="Arial" w:cs="Arial"/>
          <w:sz w:val="22"/>
          <w:szCs w:val="22"/>
          <w:lang w:val="en-GB"/>
        </w:rPr>
        <w:t xml:space="preserve"> 2006). In Canada, a highly successful governmental policy for ecological transition in farming practices is based on support to learning processes in clubs of farmers that exchange technical knowledge on a peer to peer basis (</w:t>
      </w:r>
      <w:proofErr w:type="spellStart"/>
      <w:r w:rsidRPr="0035799B">
        <w:rPr>
          <w:rFonts w:ascii="Arial" w:hAnsi="Arial" w:cs="Arial"/>
          <w:sz w:val="22"/>
          <w:szCs w:val="22"/>
          <w:lang w:val="en-GB"/>
        </w:rPr>
        <w:t>Mathe</w:t>
      </w:r>
      <w:proofErr w:type="spellEnd"/>
      <w:r w:rsidRPr="0035799B">
        <w:rPr>
          <w:rFonts w:ascii="Arial" w:hAnsi="Arial" w:cs="Arial"/>
          <w:sz w:val="22"/>
          <w:szCs w:val="22"/>
          <w:lang w:val="en-GB"/>
        </w:rPr>
        <w:t xml:space="preserve"> and </w:t>
      </w:r>
      <w:proofErr w:type="spellStart"/>
      <w:r w:rsidRPr="0035799B">
        <w:rPr>
          <w:rFonts w:ascii="Arial" w:hAnsi="Arial" w:cs="Arial"/>
          <w:sz w:val="22"/>
          <w:szCs w:val="22"/>
          <w:lang w:val="en-GB"/>
        </w:rPr>
        <w:t>Rivaud</w:t>
      </w:r>
      <w:proofErr w:type="spellEnd"/>
      <w:r w:rsidRPr="0035799B">
        <w:rPr>
          <w:rFonts w:ascii="Arial" w:hAnsi="Arial" w:cs="Arial"/>
          <w:sz w:val="22"/>
          <w:szCs w:val="22"/>
          <w:lang w:val="en-GB"/>
        </w:rPr>
        <w:t>, 2009). Such clubs exist in many EU countries as well (cf. the CETA and COMICE, mentioned in the table 3 on the questionnaire below), but often are not focused on ecological transition processes, and, if they are, lack political and financial support (</w:t>
      </w:r>
      <w:proofErr w:type="spellStart"/>
      <w:r w:rsidRPr="0035799B">
        <w:rPr>
          <w:rFonts w:ascii="Arial" w:hAnsi="Arial" w:cs="Arial"/>
          <w:sz w:val="22"/>
          <w:szCs w:val="22"/>
          <w:lang w:val="en-GB"/>
        </w:rPr>
        <w:t>Mathe</w:t>
      </w:r>
      <w:proofErr w:type="spellEnd"/>
      <w:r w:rsidRPr="0035799B">
        <w:rPr>
          <w:rFonts w:ascii="Arial" w:hAnsi="Arial" w:cs="Arial"/>
          <w:sz w:val="22"/>
          <w:szCs w:val="22"/>
          <w:lang w:val="en-GB"/>
        </w:rPr>
        <w:t xml:space="preserve"> and </w:t>
      </w:r>
      <w:proofErr w:type="spellStart"/>
      <w:r w:rsidRPr="0035799B">
        <w:rPr>
          <w:rFonts w:ascii="Arial" w:hAnsi="Arial" w:cs="Arial"/>
          <w:sz w:val="22"/>
          <w:szCs w:val="22"/>
          <w:lang w:val="en-GB"/>
        </w:rPr>
        <w:t>Rivaud</w:t>
      </w:r>
      <w:proofErr w:type="spellEnd"/>
      <w:r w:rsidRPr="0035799B">
        <w:rPr>
          <w:rFonts w:ascii="Arial" w:hAnsi="Arial" w:cs="Arial"/>
          <w:sz w:val="22"/>
          <w:szCs w:val="22"/>
          <w:lang w:val="en-GB"/>
        </w:rPr>
        <w:t xml:space="preserve">, 2009). </w:t>
      </w:r>
      <w:proofErr w:type="gramStart"/>
      <w:r w:rsidRPr="0035799B">
        <w:rPr>
          <w:rFonts w:ascii="Arial" w:hAnsi="Arial" w:cs="Arial"/>
          <w:sz w:val="22"/>
          <w:szCs w:val="22"/>
          <w:lang w:val="en-GB"/>
        </w:rPr>
        <w:t>A last example are</w:t>
      </w:r>
      <w:proofErr w:type="gramEnd"/>
      <w:r w:rsidRPr="0035799B">
        <w:rPr>
          <w:rFonts w:ascii="Arial" w:hAnsi="Arial" w:cs="Arial"/>
          <w:sz w:val="22"/>
          <w:szCs w:val="22"/>
          <w:lang w:val="en-GB"/>
        </w:rPr>
        <w:t xml:space="preserve"> the urban garden networks in Berlin. </w:t>
      </w:r>
      <w:proofErr w:type="gramStart"/>
      <w:r w:rsidRPr="0035799B">
        <w:rPr>
          <w:rFonts w:ascii="Arial" w:hAnsi="Arial" w:cs="Arial"/>
          <w:sz w:val="22"/>
          <w:szCs w:val="22"/>
          <w:lang w:val="en-GB"/>
        </w:rPr>
        <w:t>These multi-stakeholders platform</w:t>
      </w:r>
      <w:proofErr w:type="gramEnd"/>
      <w:r w:rsidRPr="0035799B">
        <w:rPr>
          <w:rFonts w:ascii="Arial" w:hAnsi="Arial" w:cs="Arial"/>
          <w:sz w:val="22"/>
          <w:szCs w:val="22"/>
          <w:lang w:val="en-GB"/>
        </w:rPr>
        <w:t xml:space="preserve"> (activists, scientist, local authorities, SME’s) addressed all aspects of sustainability from social aspects such as social integration to economic considerations. Scholars point to the crucial role of the openness of local public administration and the participatory governance of the network in the success of the project (</w:t>
      </w:r>
      <w:proofErr w:type="spellStart"/>
      <w:r w:rsidRPr="0035799B">
        <w:rPr>
          <w:rFonts w:ascii="Arial" w:hAnsi="Arial" w:cs="Arial"/>
          <w:sz w:val="22"/>
          <w:szCs w:val="22"/>
          <w:lang w:val="en-GB"/>
        </w:rPr>
        <w:t>Wunder</w:t>
      </w:r>
      <w:proofErr w:type="spellEnd"/>
      <w:r w:rsidRPr="0035799B">
        <w:rPr>
          <w:rFonts w:ascii="Arial" w:hAnsi="Arial" w:cs="Arial"/>
          <w:sz w:val="22"/>
          <w:szCs w:val="22"/>
          <w:lang w:val="en-GB"/>
        </w:rPr>
        <w:t xml:space="preserve"> 2013, </w:t>
      </w:r>
      <w:proofErr w:type="spellStart"/>
      <w:r w:rsidRPr="0035799B">
        <w:rPr>
          <w:rFonts w:ascii="Arial" w:hAnsi="Arial" w:cs="Arial"/>
          <w:sz w:val="22"/>
          <w:szCs w:val="22"/>
          <w:lang w:val="en-GB"/>
        </w:rPr>
        <w:t>Bendt</w:t>
      </w:r>
      <w:proofErr w:type="spellEnd"/>
      <w:r w:rsidRPr="0035799B">
        <w:rPr>
          <w:rFonts w:ascii="Arial" w:hAnsi="Arial" w:cs="Arial"/>
          <w:sz w:val="22"/>
          <w:szCs w:val="22"/>
          <w:lang w:val="en-GB"/>
        </w:rPr>
        <w:t xml:space="preserve"> 2013).</w:t>
      </w:r>
    </w:p>
    <w:p w:rsidR="00DF6285" w:rsidRPr="0035799B" w:rsidRDefault="00DF6285" w:rsidP="00DF6285">
      <w:pPr>
        <w:spacing w:before="120" w:line="276" w:lineRule="auto"/>
        <w:rPr>
          <w:rFonts w:ascii="Arial" w:hAnsi="Arial" w:cs="Arial"/>
          <w:sz w:val="22"/>
          <w:szCs w:val="22"/>
          <w:lang w:val="en-GB"/>
        </w:rPr>
      </w:pPr>
      <w:r w:rsidRPr="0035799B">
        <w:rPr>
          <w:rFonts w:ascii="Arial" w:hAnsi="Arial" w:cs="Arial"/>
          <w:sz w:val="22"/>
          <w:szCs w:val="22"/>
          <w:lang w:val="en-GB"/>
        </w:rPr>
        <w:lastRenderedPageBreak/>
        <w:t>As highlighted by these illustrative examples, collaborative networks can contribute to improve the socio-ecological outcomes of the agro-food system. This is corroborated by the large literature on the contribution of collaborative networks in the field of environmental governance. In this context, collaborative networks can be defined through three distinguishing features (</w:t>
      </w:r>
      <w:proofErr w:type="spellStart"/>
      <w:r w:rsidRPr="0035799B">
        <w:rPr>
          <w:rFonts w:ascii="Arial" w:hAnsi="Arial" w:cs="Arial"/>
          <w:sz w:val="22"/>
          <w:szCs w:val="22"/>
          <w:lang w:val="en-GB"/>
        </w:rPr>
        <w:t>Pahl</w:t>
      </w:r>
      <w:proofErr w:type="spellEnd"/>
      <w:r w:rsidRPr="0035799B">
        <w:rPr>
          <w:rFonts w:ascii="Arial" w:hAnsi="Arial" w:cs="Arial"/>
          <w:sz w:val="22"/>
          <w:szCs w:val="22"/>
          <w:lang w:val="en-GB"/>
        </w:rPr>
        <w:t xml:space="preserve"> </w:t>
      </w:r>
      <w:proofErr w:type="spellStart"/>
      <w:r w:rsidRPr="0035799B">
        <w:rPr>
          <w:rFonts w:ascii="Arial" w:hAnsi="Arial" w:cs="Arial"/>
          <w:sz w:val="22"/>
          <w:szCs w:val="22"/>
          <w:lang w:val="en-GB"/>
        </w:rPr>
        <w:t>Wostl</w:t>
      </w:r>
      <w:proofErr w:type="spellEnd"/>
      <w:r w:rsidRPr="0035799B">
        <w:rPr>
          <w:rFonts w:ascii="Arial" w:hAnsi="Arial" w:cs="Arial"/>
          <w:sz w:val="22"/>
          <w:szCs w:val="22"/>
          <w:lang w:val="en-GB"/>
        </w:rPr>
        <w:t xml:space="preserve"> 2009):</w:t>
      </w:r>
    </w:p>
    <w:p w:rsidR="00DF6285" w:rsidRPr="0035799B" w:rsidRDefault="00DF6285" w:rsidP="00DF6285">
      <w:pPr>
        <w:pStyle w:val="Paragraphedeliste"/>
        <w:numPr>
          <w:ilvl w:val="0"/>
          <w:numId w:val="1"/>
        </w:numPr>
        <w:spacing w:before="120" w:line="276" w:lineRule="auto"/>
        <w:rPr>
          <w:rFonts w:ascii="Arial" w:hAnsi="Arial" w:cs="Arial"/>
          <w:sz w:val="22"/>
          <w:szCs w:val="22"/>
          <w:lang w:val="en-GB"/>
        </w:rPr>
      </w:pPr>
      <w:r w:rsidRPr="0035799B">
        <w:rPr>
          <w:rFonts w:ascii="Arial" w:hAnsi="Arial" w:cs="Arial"/>
          <w:sz w:val="22"/>
          <w:szCs w:val="22"/>
          <w:lang w:val="en-GB"/>
        </w:rPr>
        <w:t xml:space="preserve">a high level of social regulation through informal institutions, which depend on social norms for rule enforcement, in addition to formal institutions, which are controlled and monitored by the legal apparatus of the state; </w:t>
      </w:r>
    </w:p>
    <w:p w:rsidR="00DF6285" w:rsidRPr="0035799B" w:rsidRDefault="00DF6285" w:rsidP="00DF6285">
      <w:pPr>
        <w:pStyle w:val="Paragraphedeliste"/>
        <w:numPr>
          <w:ilvl w:val="0"/>
          <w:numId w:val="1"/>
        </w:numPr>
        <w:spacing w:before="120" w:line="276" w:lineRule="auto"/>
        <w:rPr>
          <w:rFonts w:ascii="Arial" w:hAnsi="Arial" w:cs="Arial"/>
          <w:sz w:val="22"/>
          <w:szCs w:val="22"/>
          <w:lang w:val="en-GB"/>
        </w:rPr>
      </w:pPr>
      <w:r w:rsidRPr="0035799B">
        <w:rPr>
          <w:rFonts w:ascii="Arial" w:hAnsi="Arial" w:cs="Arial"/>
          <w:sz w:val="22"/>
          <w:szCs w:val="22"/>
          <w:lang w:val="en-GB"/>
        </w:rPr>
        <w:t xml:space="preserve">a high degree of participation of decentralized collective actors in the governance process, in addition to the state-actors, and </w:t>
      </w:r>
    </w:p>
    <w:p w:rsidR="00DF6285" w:rsidRPr="0035799B" w:rsidRDefault="00DF6285" w:rsidP="00DF6285">
      <w:pPr>
        <w:pStyle w:val="Paragraphedeliste"/>
        <w:numPr>
          <w:ilvl w:val="0"/>
          <w:numId w:val="1"/>
        </w:numPr>
        <w:spacing w:before="120" w:line="276" w:lineRule="auto"/>
        <w:rPr>
          <w:rFonts w:ascii="Arial" w:hAnsi="Arial" w:cs="Arial"/>
          <w:sz w:val="22"/>
          <w:szCs w:val="22"/>
          <w:lang w:val="en-GB"/>
        </w:rPr>
      </w:pPr>
      <w:proofErr w:type="gramStart"/>
      <w:r w:rsidRPr="0035799B">
        <w:rPr>
          <w:rFonts w:ascii="Arial" w:hAnsi="Arial" w:cs="Arial"/>
          <w:sz w:val="22"/>
          <w:szCs w:val="22"/>
          <w:lang w:val="en-GB"/>
        </w:rPr>
        <w:t>the</w:t>
      </w:r>
      <w:proofErr w:type="gramEnd"/>
      <w:r w:rsidRPr="0035799B">
        <w:rPr>
          <w:rFonts w:ascii="Arial" w:hAnsi="Arial" w:cs="Arial"/>
          <w:sz w:val="22"/>
          <w:szCs w:val="22"/>
          <w:lang w:val="en-GB"/>
        </w:rPr>
        <w:t xml:space="preserve"> recourse to polycentric and interactive problem solving amongst these actors. </w:t>
      </w:r>
    </w:p>
    <w:p w:rsidR="00DF6285" w:rsidRPr="00393E57" w:rsidRDefault="00DF6285" w:rsidP="0035799B">
      <w:pPr>
        <w:pStyle w:val="Titre2"/>
        <w:rPr>
          <w:lang w:val="en-GB"/>
        </w:rPr>
      </w:pPr>
      <w:bookmarkStart w:id="1" w:name="_Toc402372779"/>
      <w:r w:rsidRPr="00393E57">
        <w:rPr>
          <w:lang w:val="en-GB"/>
        </w:rPr>
        <w:t xml:space="preserve">2. The theoretical framework of the </w:t>
      </w:r>
      <w:proofErr w:type="gramStart"/>
      <w:r w:rsidRPr="00393E57">
        <w:rPr>
          <w:lang w:val="en-GB"/>
        </w:rPr>
        <w:t>research :</w:t>
      </w:r>
      <w:proofErr w:type="gramEnd"/>
      <w:r w:rsidRPr="00393E57">
        <w:rPr>
          <w:lang w:val="en-GB"/>
        </w:rPr>
        <w:t xml:space="preserve"> network bridging organisations to foster technical and social learning</w:t>
      </w:r>
      <w:bookmarkEnd w:id="1"/>
    </w:p>
    <w:p w:rsidR="00DF6285" w:rsidRPr="0035799B" w:rsidRDefault="00DF6285" w:rsidP="00DF6285">
      <w:pPr>
        <w:spacing w:before="120" w:line="276" w:lineRule="auto"/>
        <w:jc w:val="both"/>
        <w:rPr>
          <w:rFonts w:ascii="Arial" w:hAnsi="Arial" w:cs="Arial"/>
          <w:sz w:val="22"/>
          <w:szCs w:val="22"/>
          <w:lang w:val="en-GB"/>
        </w:rPr>
      </w:pPr>
      <w:r w:rsidRPr="0035799B">
        <w:rPr>
          <w:rFonts w:ascii="Arial" w:hAnsi="Arial" w:cs="Arial"/>
          <w:sz w:val="22"/>
          <w:szCs w:val="22"/>
          <w:lang w:val="en-GB"/>
        </w:rPr>
        <w:t xml:space="preserve">The role of bridging organisations in formal co-management arrangements has been extensively studied in the literature in environmental governance (cf. the overview in </w:t>
      </w:r>
      <w:proofErr w:type="spellStart"/>
      <w:r w:rsidRPr="0035799B">
        <w:rPr>
          <w:rFonts w:ascii="Arial" w:hAnsi="Arial" w:cs="Arial"/>
          <w:sz w:val="22"/>
          <w:szCs w:val="22"/>
          <w:lang w:val="en-GB"/>
        </w:rPr>
        <w:t>Berkes</w:t>
      </w:r>
      <w:proofErr w:type="spellEnd"/>
      <w:r w:rsidRPr="0035799B">
        <w:rPr>
          <w:rFonts w:ascii="Arial" w:hAnsi="Arial" w:cs="Arial"/>
          <w:sz w:val="22"/>
          <w:szCs w:val="22"/>
          <w:lang w:val="en-GB"/>
        </w:rPr>
        <w:t xml:space="preserve"> 2009). Less attention has been given to the possible role of bridging organisations in the case of collaborative networks. However, as discussed above, collaborative networks, in spite of being devoid of the advantages of the stronger full-fledged co-management option, can potentially play a role in addressing some of the policy integration and social learning challenges in the field of sustainable agro-food system policies. Three of the merits of bridging organisations amongst participants of collaborative networks can be detailed. The first is the better chance for actors to build common objectives and long-term strategies and cooperation that can lead to a real transformation of the agro-food system. The second is the potential for facilitating the process of social learning and co-production of knowledge amongst the stakeholders, private sector actors and governmental organisations. The third could be the emergence of new institutional rules for framing the economic transactions built on the new shared system of beliefs of the actors gathered in the bridging organisations. Indeed, the emergence of new economic institutions depends on the social learning processes by the actors and its intera</w:t>
      </w:r>
      <w:r w:rsidR="00FE0A8B">
        <w:rPr>
          <w:rFonts w:ascii="Arial" w:hAnsi="Arial" w:cs="Arial"/>
          <w:sz w:val="22"/>
          <w:szCs w:val="22"/>
          <w:lang w:val="en-GB"/>
        </w:rPr>
        <w:t>ction with beliefs system</w:t>
      </w:r>
      <w:r w:rsidRPr="0035799B">
        <w:rPr>
          <w:rFonts w:ascii="Arial" w:hAnsi="Arial" w:cs="Arial"/>
          <w:sz w:val="22"/>
          <w:szCs w:val="22"/>
          <w:lang w:val="en-GB"/>
        </w:rPr>
        <w:t>. Furthermore, an institutional transition depends on a cognitive disequilibrium, such as a crisis of shared beliefs that accompanies environmental changes and social learning. The redefinition of a new “activated” subset of choices, a novel action plan and a new shared system of beliefs</w:t>
      </w:r>
      <w:r w:rsidR="00FE0A8B">
        <w:rPr>
          <w:rFonts w:ascii="Arial" w:hAnsi="Arial" w:cs="Arial"/>
          <w:sz w:val="22"/>
          <w:szCs w:val="22"/>
          <w:lang w:val="en-GB"/>
        </w:rPr>
        <w:t xml:space="preserve"> will lead to new institutions</w:t>
      </w:r>
    </w:p>
    <w:p w:rsidR="00DF6285" w:rsidRPr="0035799B" w:rsidRDefault="00DF6285" w:rsidP="00DF6285">
      <w:pPr>
        <w:spacing w:before="120" w:line="276" w:lineRule="auto"/>
        <w:jc w:val="both"/>
        <w:rPr>
          <w:rFonts w:ascii="Arial" w:hAnsi="Arial" w:cs="Arial"/>
          <w:sz w:val="22"/>
          <w:szCs w:val="22"/>
          <w:lang w:val="en-GB"/>
        </w:rPr>
      </w:pPr>
      <w:r w:rsidRPr="0035799B">
        <w:rPr>
          <w:rFonts w:ascii="Arial" w:hAnsi="Arial" w:cs="Arial"/>
          <w:noProof/>
          <w:sz w:val="22"/>
          <w:szCs w:val="22"/>
          <w:lang w:val="fr-BE" w:eastAsia="zh-CN"/>
        </w:rPr>
        <w:drawing>
          <wp:inline distT="0" distB="0" distL="0" distR="0" wp14:anchorId="483E0359" wp14:editId="0E134201">
            <wp:extent cx="4484370" cy="2218690"/>
            <wp:effectExtent l="0" t="0" r="0" b="0"/>
            <wp:docPr id="5" name="Picture Fram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84370" cy="2218690"/>
                    </a:xfrm>
                    <a:prstGeom prst="rect">
                      <a:avLst/>
                    </a:prstGeom>
                    <a:noFill/>
                    <a:ln>
                      <a:noFill/>
                    </a:ln>
                  </pic:spPr>
                </pic:pic>
              </a:graphicData>
            </a:graphic>
          </wp:inline>
        </w:drawing>
      </w:r>
    </w:p>
    <w:p w:rsidR="00DF6285" w:rsidRPr="0035799B" w:rsidRDefault="0035799B" w:rsidP="00DF6285">
      <w:pPr>
        <w:spacing w:before="120" w:line="276" w:lineRule="auto"/>
        <w:jc w:val="center"/>
        <w:rPr>
          <w:rFonts w:ascii="Arial" w:hAnsi="Arial" w:cs="Arial"/>
          <w:i/>
          <w:sz w:val="22"/>
          <w:szCs w:val="22"/>
          <w:lang w:val="en-GB"/>
        </w:rPr>
      </w:pPr>
      <w:bookmarkStart w:id="2" w:name="_Toc400531622"/>
      <w:r w:rsidRPr="0035799B">
        <w:rPr>
          <w:rFonts w:ascii="Arial" w:hAnsi="Arial" w:cs="Arial"/>
          <w:i/>
          <w:sz w:val="22"/>
          <w:szCs w:val="22"/>
          <w:lang w:val="en-GB"/>
        </w:rPr>
        <w:lastRenderedPageBreak/>
        <w:t>Figure 2.1.</w:t>
      </w:r>
      <w:r w:rsidR="00DF6285" w:rsidRPr="0035799B">
        <w:rPr>
          <w:rFonts w:ascii="Arial" w:hAnsi="Arial" w:cs="Arial"/>
          <w:i/>
          <w:sz w:val="22"/>
          <w:szCs w:val="22"/>
          <w:lang w:val="en-GB"/>
        </w:rPr>
        <w:t xml:space="preserve">: The possible role of bridging organisations in co-governance (source: </w:t>
      </w:r>
      <w:proofErr w:type="spellStart"/>
      <w:r w:rsidR="00DF6285" w:rsidRPr="0035799B">
        <w:rPr>
          <w:rFonts w:ascii="Arial" w:hAnsi="Arial" w:cs="Arial"/>
          <w:i/>
          <w:sz w:val="22"/>
          <w:szCs w:val="22"/>
          <w:lang w:val="en-GB"/>
        </w:rPr>
        <w:t>Berkes</w:t>
      </w:r>
      <w:proofErr w:type="spellEnd"/>
      <w:r w:rsidR="00DF6285" w:rsidRPr="0035799B">
        <w:rPr>
          <w:rFonts w:ascii="Arial" w:hAnsi="Arial" w:cs="Arial"/>
          <w:i/>
          <w:sz w:val="22"/>
          <w:szCs w:val="22"/>
          <w:lang w:val="en-GB"/>
        </w:rPr>
        <w:t>, 2009: p. 1696)</w:t>
      </w:r>
    </w:p>
    <w:bookmarkEnd w:id="2"/>
    <w:p w:rsidR="00DF6285" w:rsidRPr="0035799B" w:rsidRDefault="00DF6285" w:rsidP="0035799B">
      <w:pPr>
        <w:pStyle w:val="Titre2"/>
      </w:pPr>
      <w:r w:rsidRPr="0035799B">
        <w:t xml:space="preserve">3. Key variables </w:t>
      </w:r>
      <w:proofErr w:type="spellStart"/>
      <w:r w:rsidRPr="0035799B">
        <w:t>addressed</w:t>
      </w:r>
      <w:proofErr w:type="spellEnd"/>
      <w:r w:rsidRPr="0035799B">
        <w:t xml:space="preserve"> in </w:t>
      </w:r>
      <w:proofErr w:type="spellStart"/>
      <w:r w:rsidRPr="0035799B">
        <w:t>the</w:t>
      </w:r>
      <w:proofErr w:type="spellEnd"/>
      <w:r w:rsidRPr="0035799B">
        <w:t xml:space="preserve"> </w:t>
      </w:r>
      <w:proofErr w:type="spellStart"/>
      <w:r w:rsidRPr="0035799B">
        <w:t>survey</w:t>
      </w:r>
      <w:proofErr w:type="spellEnd"/>
      <w:r w:rsidRPr="0035799B">
        <w:t xml:space="preserve"> </w:t>
      </w:r>
      <w:proofErr w:type="spellStart"/>
      <w:r w:rsidRPr="0035799B">
        <w:t>of</w:t>
      </w:r>
      <w:proofErr w:type="spellEnd"/>
      <w:r w:rsidRPr="0035799B">
        <w:t xml:space="preserve"> 5 </w:t>
      </w:r>
      <w:proofErr w:type="spellStart"/>
      <w:r w:rsidRPr="0035799B">
        <w:t>local</w:t>
      </w:r>
      <w:proofErr w:type="spellEnd"/>
      <w:r w:rsidRPr="0035799B">
        <w:t xml:space="preserve"> </w:t>
      </w:r>
      <w:proofErr w:type="spellStart"/>
      <w:r w:rsidRPr="0035799B">
        <w:t>food</w:t>
      </w:r>
      <w:proofErr w:type="spellEnd"/>
      <w:r w:rsidRPr="0035799B">
        <w:t xml:space="preserve"> </w:t>
      </w:r>
      <w:proofErr w:type="spellStart"/>
      <w:r w:rsidRPr="0035799B">
        <w:t>networks</w:t>
      </w:r>
      <w:proofErr w:type="spellEnd"/>
      <w:r w:rsidRPr="0035799B">
        <w:t xml:space="preserve"> in </w:t>
      </w:r>
      <w:proofErr w:type="spellStart"/>
      <w:r w:rsidRPr="0035799B">
        <w:t>Belgium</w:t>
      </w:r>
      <w:proofErr w:type="spellEnd"/>
    </w:p>
    <w:p w:rsidR="00DF6285" w:rsidRPr="0035799B" w:rsidRDefault="00DF6285" w:rsidP="00DF6285">
      <w:pPr>
        <w:spacing w:before="120" w:line="276" w:lineRule="auto"/>
        <w:jc w:val="both"/>
        <w:rPr>
          <w:rFonts w:ascii="Arial" w:hAnsi="Arial" w:cs="Arial"/>
          <w:sz w:val="22"/>
          <w:szCs w:val="22"/>
          <w:lang w:val="en-GB"/>
        </w:rPr>
      </w:pPr>
      <w:r w:rsidRPr="0035799B">
        <w:rPr>
          <w:rFonts w:ascii="Arial" w:hAnsi="Arial" w:cs="Arial"/>
          <w:sz w:val="22"/>
          <w:szCs w:val="22"/>
          <w:lang w:val="en-GB"/>
        </w:rPr>
        <w:t>When social norms and personal values play an important role in the decision-making over alternatives (under similar economic outcomes, and similar level of information), collaborative multi-stakeholder networks that build trust amongst the actors and foster learning on the new social norms have been shown to be more likely to lead to change in actors’ behaviour (</w:t>
      </w:r>
      <w:proofErr w:type="spellStart"/>
      <w:r w:rsidRPr="0035799B">
        <w:rPr>
          <w:rFonts w:ascii="Arial" w:hAnsi="Arial" w:cs="Arial"/>
          <w:sz w:val="22"/>
          <w:szCs w:val="22"/>
          <w:lang w:val="en-GB"/>
        </w:rPr>
        <w:t>Dedeurwaerdere</w:t>
      </w:r>
      <w:proofErr w:type="spellEnd"/>
      <w:r w:rsidRPr="0035799B">
        <w:rPr>
          <w:rFonts w:ascii="Arial" w:hAnsi="Arial" w:cs="Arial"/>
          <w:sz w:val="22"/>
          <w:szCs w:val="22"/>
          <w:lang w:val="en-GB"/>
        </w:rPr>
        <w:t xml:space="preserve">, 2005; </w:t>
      </w:r>
      <w:proofErr w:type="spellStart"/>
      <w:r w:rsidRPr="0035799B">
        <w:rPr>
          <w:rFonts w:ascii="Arial" w:hAnsi="Arial" w:cs="Arial"/>
          <w:sz w:val="22"/>
          <w:szCs w:val="22"/>
          <w:lang w:val="en-GB"/>
        </w:rPr>
        <w:t>Dedeurwaerdere</w:t>
      </w:r>
      <w:proofErr w:type="spellEnd"/>
      <w:r w:rsidRPr="0035799B">
        <w:rPr>
          <w:rFonts w:ascii="Arial" w:hAnsi="Arial" w:cs="Arial"/>
          <w:sz w:val="22"/>
          <w:szCs w:val="22"/>
          <w:lang w:val="en-GB"/>
        </w:rPr>
        <w:t xml:space="preserve">, 2007; Innes and </w:t>
      </w:r>
      <w:proofErr w:type="spellStart"/>
      <w:r w:rsidRPr="0035799B">
        <w:rPr>
          <w:rFonts w:ascii="Arial" w:hAnsi="Arial" w:cs="Arial"/>
          <w:sz w:val="22"/>
          <w:szCs w:val="22"/>
          <w:lang w:val="en-GB"/>
        </w:rPr>
        <w:t>Booher</w:t>
      </w:r>
      <w:proofErr w:type="spellEnd"/>
      <w:r w:rsidRPr="0035799B">
        <w:rPr>
          <w:rFonts w:ascii="Arial" w:hAnsi="Arial" w:cs="Arial"/>
          <w:sz w:val="22"/>
          <w:szCs w:val="22"/>
          <w:lang w:val="en-GB"/>
        </w:rPr>
        <w:t xml:space="preserve">, 2010; </w:t>
      </w:r>
      <w:proofErr w:type="spellStart"/>
      <w:r w:rsidRPr="0035799B">
        <w:rPr>
          <w:rFonts w:ascii="Arial" w:hAnsi="Arial" w:cs="Arial"/>
          <w:sz w:val="22"/>
          <w:szCs w:val="22"/>
          <w:lang w:val="en-GB"/>
        </w:rPr>
        <w:t>Bodin</w:t>
      </w:r>
      <w:proofErr w:type="spellEnd"/>
      <w:r w:rsidRPr="0035799B">
        <w:rPr>
          <w:rFonts w:ascii="Arial" w:hAnsi="Arial" w:cs="Arial"/>
          <w:sz w:val="22"/>
          <w:szCs w:val="22"/>
          <w:lang w:val="en-GB"/>
        </w:rPr>
        <w:t xml:space="preserve"> and </w:t>
      </w:r>
      <w:proofErr w:type="spellStart"/>
      <w:r w:rsidRPr="0035799B">
        <w:rPr>
          <w:rFonts w:ascii="Arial" w:hAnsi="Arial" w:cs="Arial"/>
          <w:sz w:val="22"/>
          <w:szCs w:val="22"/>
          <w:lang w:val="en-GB"/>
        </w:rPr>
        <w:t>Prell</w:t>
      </w:r>
      <w:proofErr w:type="spellEnd"/>
      <w:r w:rsidRPr="0035799B">
        <w:rPr>
          <w:rFonts w:ascii="Arial" w:hAnsi="Arial" w:cs="Arial"/>
          <w:sz w:val="22"/>
          <w:szCs w:val="22"/>
          <w:lang w:val="en-GB"/>
        </w:rPr>
        <w:t xml:space="preserve">, 2011). As seen above, experiments as </w:t>
      </w:r>
      <w:proofErr w:type="gramStart"/>
      <w:r w:rsidRPr="0035799B">
        <w:rPr>
          <w:rFonts w:ascii="Arial" w:hAnsi="Arial" w:cs="Arial"/>
          <w:sz w:val="22"/>
          <w:szCs w:val="22"/>
          <w:lang w:val="en-GB"/>
        </w:rPr>
        <w:t>farmers</w:t>
      </w:r>
      <w:proofErr w:type="gramEnd"/>
      <w:r w:rsidRPr="0035799B">
        <w:rPr>
          <w:rFonts w:ascii="Arial" w:hAnsi="Arial" w:cs="Arial"/>
          <w:sz w:val="22"/>
          <w:szCs w:val="22"/>
          <w:lang w:val="en-GB"/>
        </w:rPr>
        <w:t xml:space="preserve"> networks or urban garden strategies, based on multi-stakeholder collaboration mechanisms and social learning, have shown high outputs for the socio-ecological transition. It is therefore important to get a better understanding of the conditions under which these networks are promoting social learning.</w:t>
      </w:r>
    </w:p>
    <w:p w:rsidR="00DF6285" w:rsidRPr="0035799B" w:rsidRDefault="00DF6285" w:rsidP="00DF6285">
      <w:pPr>
        <w:spacing w:before="120" w:line="276" w:lineRule="auto"/>
        <w:jc w:val="both"/>
        <w:rPr>
          <w:rFonts w:ascii="Arial" w:hAnsi="Arial" w:cs="Arial"/>
          <w:sz w:val="22"/>
          <w:szCs w:val="22"/>
          <w:lang w:val="en-GB"/>
        </w:rPr>
      </w:pPr>
      <w:r w:rsidRPr="0035799B">
        <w:rPr>
          <w:rFonts w:ascii="Arial" w:hAnsi="Arial" w:cs="Arial"/>
          <w:sz w:val="22"/>
          <w:szCs w:val="22"/>
          <w:lang w:val="en-GB"/>
        </w:rPr>
        <w:t xml:space="preserve">Social learning in multi-stakeholder networks is not an automatic result of the existence of these networks, nor is it necessarily part of their core mission. The literature on social learning in the management of natural resources has highlighted a set of conditions for social learning processes leading to occur. In particular, in their review of over two decades of empirical research with collaborative processes, Innes and </w:t>
      </w:r>
      <w:proofErr w:type="spellStart"/>
      <w:r w:rsidRPr="0035799B">
        <w:rPr>
          <w:rFonts w:ascii="Arial" w:hAnsi="Arial" w:cs="Arial"/>
          <w:sz w:val="22"/>
          <w:szCs w:val="22"/>
          <w:lang w:val="en-GB"/>
        </w:rPr>
        <w:t>Booher</w:t>
      </w:r>
      <w:proofErr w:type="spellEnd"/>
      <w:r w:rsidRPr="0035799B">
        <w:rPr>
          <w:rFonts w:ascii="Arial" w:hAnsi="Arial" w:cs="Arial"/>
          <w:sz w:val="22"/>
          <w:szCs w:val="22"/>
          <w:lang w:val="en-GB"/>
        </w:rPr>
        <w:t xml:space="preserve"> (2010) highlight three key conditions for successful social learning processes. These conditions are: inclusiveness, interdependence and authentic dialogue. First, to lead to effective social learning on the landscape level, a collaborative rational process has to engage all those who have pertinent knowledge and a stake in the issue at hand. Indeed, the long-term adaptive capacity of complex socio-ecological systems is fostered by a dialogue amongst a broad diversity of values, interests, perspectives, skills and types and sources of knowledge. As also highlighted by other scholars of social learning, diversity allows to uncover contradictions and differences, which in turn fosters joint learning processes that take into account such social divergences. Second, to maintain the interest and energy to engage in the process, in spite of the evident costs, the participating actors need to expect higher outcomes from interdependent action within the collaborative process then from staying outside or relying on conventional command and control intervention or interest-b</w:t>
      </w:r>
      <w:bookmarkStart w:id="3" w:name="_GoBack"/>
      <w:bookmarkEnd w:id="3"/>
      <w:r w:rsidRPr="0035799B">
        <w:rPr>
          <w:rFonts w:ascii="Arial" w:hAnsi="Arial" w:cs="Arial"/>
          <w:sz w:val="22"/>
          <w:szCs w:val="22"/>
          <w:lang w:val="en-GB"/>
        </w:rPr>
        <w:t xml:space="preserve">ased lobbying. Third, the social learning process needs to be considered legitimate by all the participating actors, through a mechanism that is not based on the conventional legitimacy provided by elected governmental bodies, but on the quality of the deliberative processes amongst the actors. According to Innes and </w:t>
      </w:r>
      <w:proofErr w:type="spellStart"/>
      <w:r w:rsidRPr="0035799B">
        <w:rPr>
          <w:rFonts w:ascii="Arial" w:hAnsi="Arial" w:cs="Arial"/>
          <w:sz w:val="22"/>
          <w:szCs w:val="22"/>
          <w:lang w:val="en-GB"/>
        </w:rPr>
        <w:t>Booher</w:t>
      </w:r>
      <w:proofErr w:type="spellEnd"/>
      <w:r w:rsidRPr="0035799B">
        <w:rPr>
          <w:rFonts w:ascii="Arial" w:hAnsi="Arial" w:cs="Arial"/>
          <w:sz w:val="22"/>
          <w:szCs w:val="22"/>
          <w:lang w:val="en-GB"/>
        </w:rPr>
        <w:t>, such “deliberative” legitimacy will be provided if the interested parties are able to deliberate together in a “</w:t>
      </w:r>
      <w:proofErr w:type="spellStart"/>
      <w:r w:rsidRPr="0035799B">
        <w:rPr>
          <w:rFonts w:ascii="Arial" w:hAnsi="Arial" w:cs="Arial"/>
          <w:sz w:val="22"/>
          <w:szCs w:val="22"/>
          <w:lang w:val="en-GB"/>
        </w:rPr>
        <w:t>noncoercive</w:t>
      </w:r>
      <w:proofErr w:type="spellEnd"/>
      <w:r w:rsidRPr="0035799B">
        <w:rPr>
          <w:rFonts w:ascii="Arial" w:hAnsi="Arial" w:cs="Arial"/>
          <w:sz w:val="22"/>
          <w:szCs w:val="22"/>
          <w:lang w:val="en-GB"/>
        </w:rPr>
        <w:t xml:space="preserve"> environment” with valid information and with a view to reaching agreement on actions to undertake (p. 204). </w:t>
      </w:r>
    </w:p>
    <w:p w:rsidR="00DF6285" w:rsidRPr="0035799B" w:rsidRDefault="00DF6285" w:rsidP="0035799B">
      <w:pPr>
        <w:pStyle w:val="Titre2"/>
        <w:rPr>
          <w:lang w:val="en-GB"/>
        </w:rPr>
      </w:pPr>
      <w:r w:rsidRPr="0035799B">
        <w:rPr>
          <w:lang w:val="en-GB"/>
        </w:rPr>
        <w:t>Materials and methods</w:t>
      </w:r>
    </w:p>
    <w:p w:rsidR="00E613F6" w:rsidRDefault="00E613F6" w:rsidP="00E613F6">
      <w:pPr>
        <w:pStyle w:val="Titre3"/>
        <w:rPr>
          <w:lang w:val="en-GB"/>
        </w:rPr>
      </w:pPr>
      <w:r>
        <w:rPr>
          <w:lang w:val="en-GB"/>
        </w:rPr>
        <w:t>Research sample</w:t>
      </w:r>
    </w:p>
    <w:p w:rsidR="00E613F6" w:rsidRPr="00E613F6" w:rsidRDefault="00E613F6" w:rsidP="00E613F6">
      <w:pPr>
        <w:spacing w:before="120" w:line="276" w:lineRule="auto"/>
        <w:rPr>
          <w:rFonts w:ascii="Arial" w:hAnsi="Arial" w:cs="Arial"/>
          <w:sz w:val="22"/>
          <w:szCs w:val="22"/>
          <w:lang w:val="en-GB"/>
        </w:rPr>
      </w:pPr>
      <w:r w:rsidRPr="00E613F6">
        <w:rPr>
          <w:rFonts w:ascii="Arial" w:hAnsi="Arial" w:cs="Arial"/>
          <w:sz w:val="22"/>
          <w:szCs w:val="22"/>
          <w:lang w:val="en-GB"/>
        </w:rPr>
        <w:t>There is an emergence of “network bridging organisations” of various types, which have the ambition to create the necessary organisational mechanisms to address this social learning and development of innovative practices that will be studied in the project</w:t>
      </w:r>
    </w:p>
    <w:p w:rsidR="00E613F6" w:rsidRPr="00E613F6" w:rsidRDefault="00E613F6" w:rsidP="00E613F6">
      <w:pPr>
        <w:spacing w:before="120" w:line="276" w:lineRule="auto"/>
        <w:ind w:left="705" w:hanging="705"/>
        <w:rPr>
          <w:rFonts w:ascii="Arial" w:hAnsi="Arial" w:cs="Arial"/>
          <w:sz w:val="22"/>
          <w:szCs w:val="22"/>
          <w:lang w:val="en-GB"/>
        </w:rPr>
      </w:pPr>
      <w:r w:rsidRPr="00E613F6">
        <w:rPr>
          <w:rFonts w:ascii="Arial" w:hAnsi="Arial" w:cs="Arial"/>
          <w:sz w:val="22"/>
          <w:szCs w:val="22"/>
          <w:lang w:val="en-GB"/>
        </w:rPr>
        <w:t>•</w:t>
      </w:r>
      <w:r w:rsidRPr="00E613F6">
        <w:rPr>
          <w:rFonts w:ascii="Arial" w:hAnsi="Arial" w:cs="Arial"/>
          <w:sz w:val="22"/>
          <w:szCs w:val="22"/>
          <w:lang w:val="en-GB"/>
        </w:rPr>
        <w:tab/>
        <w:t xml:space="preserve">Higher level network bridging organisations: such as </w:t>
      </w:r>
      <w:proofErr w:type="spellStart"/>
      <w:r w:rsidRPr="00E613F6">
        <w:rPr>
          <w:rFonts w:ascii="Arial" w:hAnsi="Arial" w:cs="Arial"/>
          <w:sz w:val="22"/>
          <w:szCs w:val="22"/>
          <w:lang w:val="en-GB"/>
        </w:rPr>
        <w:t>ceinture</w:t>
      </w:r>
      <w:proofErr w:type="spellEnd"/>
      <w:r w:rsidRPr="00E613F6">
        <w:rPr>
          <w:rFonts w:ascii="Arial" w:hAnsi="Arial" w:cs="Arial"/>
          <w:sz w:val="22"/>
          <w:szCs w:val="22"/>
          <w:lang w:val="en-GB"/>
        </w:rPr>
        <w:t xml:space="preserve"> </w:t>
      </w:r>
      <w:proofErr w:type="spellStart"/>
      <w:r w:rsidRPr="00E613F6">
        <w:rPr>
          <w:rFonts w:ascii="Arial" w:hAnsi="Arial" w:cs="Arial"/>
          <w:sz w:val="22"/>
          <w:szCs w:val="22"/>
          <w:lang w:val="en-GB"/>
        </w:rPr>
        <w:t>alimentaire</w:t>
      </w:r>
      <w:proofErr w:type="spellEnd"/>
      <w:r w:rsidRPr="00E613F6">
        <w:rPr>
          <w:rFonts w:ascii="Arial" w:hAnsi="Arial" w:cs="Arial"/>
          <w:sz w:val="22"/>
          <w:szCs w:val="22"/>
          <w:lang w:val="en-GB"/>
        </w:rPr>
        <w:t xml:space="preserve"> à Liège, Gent </w:t>
      </w:r>
      <w:proofErr w:type="spellStart"/>
      <w:r w:rsidRPr="00E613F6">
        <w:rPr>
          <w:rFonts w:ascii="Arial" w:hAnsi="Arial" w:cs="Arial"/>
          <w:sz w:val="22"/>
          <w:szCs w:val="22"/>
          <w:lang w:val="en-GB"/>
        </w:rPr>
        <w:t>en</w:t>
      </w:r>
      <w:proofErr w:type="spellEnd"/>
      <w:r w:rsidRPr="00E613F6">
        <w:rPr>
          <w:rFonts w:ascii="Arial" w:hAnsi="Arial" w:cs="Arial"/>
          <w:sz w:val="22"/>
          <w:szCs w:val="22"/>
          <w:lang w:val="en-GB"/>
        </w:rPr>
        <w:t xml:space="preserve"> </w:t>
      </w:r>
      <w:proofErr w:type="spellStart"/>
      <w:r w:rsidRPr="00E613F6">
        <w:rPr>
          <w:rFonts w:ascii="Arial" w:hAnsi="Arial" w:cs="Arial"/>
          <w:sz w:val="22"/>
          <w:szCs w:val="22"/>
          <w:lang w:val="en-GB"/>
        </w:rPr>
        <w:t>Garde</w:t>
      </w:r>
      <w:proofErr w:type="spellEnd"/>
      <w:r w:rsidRPr="00E613F6">
        <w:rPr>
          <w:rFonts w:ascii="Arial" w:hAnsi="Arial" w:cs="Arial"/>
          <w:sz w:val="22"/>
          <w:szCs w:val="22"/>
          <w:lang w:val="en-GB"/>
        </w:rPr>
        <w:t xml:space="preserve"> à </w:t>
      </w:r>
      <w:proofErr w:type="spellStart"/>
      <w:r w:rsidRPr="00E613F6">
        <w:rPr>
          <w:rFonts w:ascii="Arial" w:hAnsi="Arial" w:cs="Arial"/>
          <w:sz w:val="22"/>
          <w:szCs w:val="22"/>
          <w:lang w:val="en-GB"/>
        </w:rPr>
        <w:t>Gand</w:t>
      </w:r>
      <w:proofErr w:type="spellEnd"/>
      <w:r w:rsidRPr="00E613F6">
        <w:rPr>
          <w:rFonts w:ascii="Arial" w:hAnsi="Arial" w:cs="Arial"/>
          <w:sz w:val="22"/>
          <w:szCs w:val="22"/>
          <w:lang w:val="en-GB"/>
        </w:rPr>
        <w:t xml:space="preserve"> and Multi-actor partnership for local food networks in Leuven (partnership between </w:t>
      </w:r>
      <w:proofErr w:type="spellStart"/>
      <w:r w:rsidRPr="00E613F6">
        <w:rPr>
          <w:rFonts w:ascii="Arial" w:hAnsi="Arial" w:cs="Arial"/>
          <w:sz w:val="22"/>
          <w:szCs w:val="22"/>
          <w:lang w:val="en-GB"/>
        </w:rPr>
        <w:t>boerenbond</w:t>
      </w:r>
      <w:proofErr w:type="spellEnd"/>
      <w:r w:rsidRPr="00E613F6">
        <w:rPr>
          <w:rFonts w:ascii="Arial" w:hAnsi="Arial" w:cs="Arial"/>
          <w:sz w:val="22"/>
          <w:szCs w:val="22"/>
          <w:lang w:val="en-GB"/>
        </w:rPr>
        <w:t xml:space="preserve">, de city and </w:t>
      </w:r>
      <w:proofErr w:type="spellStart"/>
      <w:r w:rsidRPr="00E613F6">
        <w:rPr>
          <w:rFonts w:ascii="Arial" w:hAnsi="Arial" w:cs="Arial"/>
          <w:sz w:val="22"/>
          <w:szCs w:val="22"/>
          <w:lang w:val="en-GB"/>
        </w:rPr>
        <w:t>Velt</w:t>
      </w:r>
      <w:proofErr w:type="spellEnd"/>
      <w:r w:rsidRPr="00E613F6">
        <w:rPr>
          <w:rFonts w:ascii="Arial" w:hAnsi="Arial" w:cs="Arial"/>
          <w:sz w:val="22"/>
          <w:szCs w:val="22"/>
          <w:lang w:val="en-GB"/>
        </w:rPr>
        <w:t xml:space="preserve">), </w:t>
      </w:r>
      <w:proofErr w:type="spellStart"/>
      <w:r w:rsidRPr="00E613F6">
        <w:rPr>
          <w:rFonts w:ascii="Arial" w:hAnsi="Arial" w:cs="Arial"/>
          <w:sz w:val="22"/>
          <w:szCs w:val="22"/>
          <w:lang w:val="en-GB"/>
        </w:rPr>
        <w:t>Rawad</w:t>
      </w:r>
      <w:proofErr w:type="spellEnd"/>
      <w:r w:rsidRPr="00E613F6">
        <w:rPr>
          <w:rFonts w:ascii="Arial" w:hAnsi="Arial" w:cs="Arial"/>
          <w:sz w:val="22"/>
          <w:szCs w:val="22"/>
          <w:lang w:val="en-GB"/>
        </w:rPr>
        <w:t xml:space="preserve"> in the </w:t>
      </w:r>
      <w:proofErr w:type="spellStart"/>
      <w:r w:rsidRPr="00E613F6">
        <w:rPr>
          <w:rFonts w:ascii="Arial" w:hAnsi="Arial" w:cs="Arial"/>
          <w:sz w:val="22"/>
          <w:szCs w:val="22"/>
          <w:lang w:val="en-GB"/>
        </w:rPr>
        <w:t>Wallon</w:t>
      </w:r>
      <w:proofErr w:type="spellEnd"/>
      <w:r w:rsidRPr="00E613F6">
        <w:rPr>
          <w:rFonts w:ascii="Arial" w:hAnsi="Arial" w:cs="Arial"/>
          <w:sz w:val="22"/>
          <w:szCs w:val="22"/>
          <w:lang w:val="en-GB"/>
        </w:rPr>
        <w:t xml:space="preserve"> Region, </w:t>
      </w:r>
      <w:proofErr w:type="spellStart"/>
      <w:r w:rsidRPr="00E613F6">
        <w:rPr>
          <w:rFonts w:ascii="Arial" w:hAnsi="Arial" w:cs="Arial"/>
          <w:sz w:val="22"/>
          <w:szCs w:val="22"/>
          <w:lang w:val="en-GB"/>
        </w:rPr>
        <w:t>Rabad</w:t>
      </w:r>
      <w:proofErr w:type="spellEnd"/>
      <w:r w:rsidRPr="00E613F6">
        <w:rPr>
          <w:rFonts w:ascii="Arial" w:hAnsi="Arial" w:cs="Arial"/>
          <w:sz w:val="22"/>
          <w:szCs w:val="22"/>
          <w:lang w:val="en-GB"/>
        </w:rPr>
        <w:t xml:space="preserve"> in the Brussels Region</w:t>
      </w:r>
    </w:p>
    <w:p w:rsidR="00E613F6" w:rsidRPr="00E613F6" w:rsidRDefault="00E613F6" w:rsidP="00E613F6">
      <w:pPr>
        <w:spacing w:before="120" w:line="276" w:lineRule="auto"/>
        <w:ind w:left="705" w:hanging="705"/>
        <w:rPr>
          <w:rFonts w:ascii="Arial" w:hAnsi="Arial" w:cs="Arial"/>
          <w:sz w:val="22"/>
          <w:szCs w:val="22"/>
          <w:lang w:val="en-GB"/>
        </w:rPr>
      </w:pPr>
      <w:r w:rsidRPr="00E613F6">
        <w:rPr>
          <w:rFonts w:ascii="Arial" w:hAnsi="Arial" w:cs="Arial"/>
          <w:sz w:val="22"/>
          <w:szCs w:val="22"/>
          <w:lang w:val="en-GB"/>
        </w:rPr>
        <w:lastRenderedPageBreak/>
        <w:t>•</w:t>
      </w:r>
      <w:r w:rsidRPr="00E613F6">
        <w:rPr>
          <w:rFonts w:ascii="Arial" w:hAnsi="Arial" w:cs="Arial"/>
          <w:sz w:val="22"/>
          <w:szCs w:val="22"/>
          <w:lang w:val="en-GB"/>
        </w:rPr>
        <w:tab/>
      </w:r>
      <w:proofErr w:type="spellStart"/>
      <w:r w:rsidRPr="00E613F6">
        <w:rPr>
          <w:rFonts w:ascii="Arial" w:hAnsi="Arial" w:cs="Arial"/>
          <w:sz w:val="22"/>
          <w:szCs w:val="22"/>
          <w:lang w:val="en-GB"/>
        </w:rPr>
        <w:t>Sectoral</w:t>
      </w:r>
      <w:proofErr w:type="spellEnd"/>
      <w:r w:rsidRPr="00E613F6">
        <w:rPr>
          <w:rFonts w:ascii="Arial" w:hAnsi="Arial" w:cs="Arial"/>
          <w:sz w:val="22"/>
          <w:szCs w:val="22"/>
          <w:lang w:val="en-GB"/>
        </w:rPr>
        <w:t xml:space="preserve"> federations: RCR, Federations of the </w:t>
      </w:r>
      <w:proofErr w:type="spellStart"/>
      <w:r w:rsidRPr="00E613F6">
        <w:rPr>
          <w:rFonts w:ascii="Arial" w:hAnsi="Arial" w:cs="Arial"/>
          <w:sz w:val="22"/>
          <w:szCs w:val="22"/>
          <w:lang w:val="en-GB"/>
        </w:rPr>
        <w:t>voedselteams</w:t>
      </w:r>
      <w:proofErr w:type="spellEnd"/>
      <w:r w:rsidRPr="00E613F6">
        <w:rPr>
          <w:rFonts w:ascii="Arial" w:hAnsi="Arial" w:cs="Arial"/>
          <w:sz w:val="22"/>
          <w:szCs w:val="22"/>
          <w:lang w:val="en-GB"/>
        </w:rPr>
        <w:t xml:space="preserve">, website of the </w:t>
      </w:r>
      <w:proofErr w:type="spellStart"/>
      <w:r w:rsidRPr="00E613F6">
        <w:rPr>
          <w:rFonts w:ascii="Arial" w:hAnsi="Arial" w:cs="Arial"/>
          <w:sz w:val="22"/>
          <w:szCs w:val="22"/>
          <w:lang w:val="en-GB"/>
        </w:rPr>
        <w:t>voedselabonnementen</w:t>
      </w:r>
      <w:proofErr w:type="spellEnd"/>
      <w:r w:rsidRPr="00E613F6">
        <w:rPr>
          <w:rFonts w:ascii="Arial" w:hAnsi="Arial" w:cs="Arial"/>
          <w:sz w:val="22"/>
          <w:szCs w:val="22"/>
          <w:lang w:val="en-GB"/>
        </w:rPr>
        <w:t xml:space="preserve">, </w:t>
      </w:r>
      <w:proofErr w:type="spellStart"/>
      <w:r w:rsidRPr="00E613F6">
        <w:rPr>
          <w:rFonts w:ascii="Arial" w:hAnsi="Arial" w:cs="Arial"/>
          <w:sz w:val="22"/>
          <w:szCs w:val="22"/>
          <w:lang w:val="en-GB"/>
        </w:rPr>
        <w:t>Gasap</w:t>
      </w:r>
      <w:proofErr w:type="spellEnd"/>
      <w:r w:rsidRPr="00E613F6">
        <w:rPr>
          <w:rFonts w:ascii="Arial" w:hAnsi="Arial" w:cs="Arial"/>
          <w:sz w:val="22"/>
          <w:szCs w:val="22"/>
          <w:lang w:val="en-GB"/>
        </w:rPr>
        <w:t xml:space="preserve">, Terre </w:t>
      </w:r>
      <w:proofErr w:type="spellStart"/>
      <w:r w:rsidRPr="00E613F6">
        <w:rPr>
          <w:rFonts w:ascii="Arial" w:hAnsi="Arial" w:cs="Arial"/>
          <w:sz w:val="22"/>
          <w:szCs w:val="22"/>
          <w:lang w:val="en-GB"/>
        </w:rPr>
        <w:t>en</w:t>
      </w:r>
      <w:proofErr w:type="spellEnd"/>
      <w:r w:rsidRPr="00E613F6">
        <w:rPr>
          <w:rFonts w:ascii="Arial" w:hAnsi="Arial" w:cs="Arial"/>
          <w:sz w:val="22"/>
          <w:szCs w:val="22"/>
          <w:lang w:val="en-GB"/>
        </w:rPr>
        <w:t xml:space="preserve"> </w:t>
      </w:r>
      <w:proofErr w:type="spellStart"/>
      <w:r w:rsidRPr="00E613F6">
        <w:rPr>
          <w:rFonts w:ascii="Arial" w:hAnsi="Arial" w:cs="Arial"/>
          <w:sz w:val="22"/>
          <w:szCs w:val="22"/>
          <w:lang w:val="en-GB"/>
        </w:rPr>
        <w:t>Vue</w:t>
      </w:r>
      <w:proofErr w:type="spellEnd"/>
      <w:r w:rsidRPr="00E613F6">
        <w:rPr>
          <w:rFonts w:ascii="Arial" w:hAnsi="Arial" w:cs="Arial"/>
          <w:sz w:val="22"/>
          <w:szCs w:val="22"/>
          <w:lang w:val="en-GB"/>
        </w:rPr>
        <w:t xml:space="preserve">, </w:t>
      </w:r>
      <w:proofErr w:type="spellStart"/>
      <w:proofErr w:type="gramStart"/>
      <w:r w:rsidRPr="00E613F6">
        <w:rPr>
          <w:rFonts w:ascii="Arial" w:hAnsi="Arial" w:cs="Arial"/>
          <w:sz w:val="22"/>
          <w:szCs w:val="22"/>
          <w:lang w:val="en-GB"/>
        </w:rPr>
        <w:t>Agricovert</w:t>
      </w:r>
      <w:proofErr w:type="spellEnd"/>
      <w:r w:rsidRPr="00E613F6">
        <w:rPr>
          <w:rFonts w:ascii="Arial" w:hAnsi="Arial" w:cs="Arial"/>
          <w:sz w:val="22"/>
          <w:szCs w:val="22"/>
          <w:lang w:val="en-GB"/>
        </w:rPr>
        <w:t>, …</w:t>
      </w:r>
      <w:proofErr w:type="gramEnd"/>
    </w:p>
    <w:p w:rsidR="00E613F6" w:rsidRDefault="00E613F6" w:rsidP="00E613F6">
      <w:pPr>
        <w:spacing w:before="120" w:line="276" w:lineRule="auto"/>
        <w:rPr>
          <w:rFonts w:ascii="Arial" w:hAnsi="Arial" w:cs="Arial"/>
          <w:sz w:val="22"/>
          <w:szCs w:val="22"/>
          <w:lang w:val="en-GB"/>
        </w:rPr>
      </w:pPr>
      <w:r w:rsidRPr="00E613F6">
        <w:rPr>
          <w:rFonts w:ascii="Arial" w:hAnsi="Arial" w:cs="Arial"/>
          <w:sz w:val="22"/>
          <w:szCs w:val="22"/>
          <w:lang w:val="en-GB"/>
        </w:rPr>
        <w:t xml:space="preserve">The project will focus on the role of these bridging </w:t>
      </w:r>
      <w:proofErr w:type="gramStart"/>
      <w:r w:rsidRPr="00E613F6">
        <w:rPr>
          <w:rFonts w:ascii="Arial" w:hAnsi="Arial" w:cs="Arial"/>
          <w:sz w:val="22"/>
          <w:szCs w:val="22"/>
          <w:lang w:val="en-GB"/>
        </w:rPr>
        <w:t>organisations  in</w:t>
      </w:r>
      <w:proofErr w:type="gramEnd"/>
      <w:r w:rsidRPr="00E613F6">
        <w:rPr>
          <w:rFonts w:ascii="Arial" w:hAnsi="Arial" w:cs="Arial"/>
          <w:sz w:val="22"/>
          <w:szCs w:val="22"/>
          <w:lang w:val="en-GB"/>
        </w:rPr>
        <w:t xml:space="preserve"> 5 selected case study area’s : around Leuven and Antwerp (Flanders Region), around Brussels (Brussels Region) and around </w:t>
      </w:r>
      <w:proofErr w:type="spellStart"/>
      <w:r w:rsidRPr="00E613F6">
        <w:rPr>
          <w:rFonts w:ascii="Arial" w:hAnsi="Arial" w:cs="Arial"/>
          <w:sz w:val="22"/>
          <w:szCs w:val="22"/>
          <w:lang w:val="en-GB"/>
        </w:rPr>
        <w:t>Ottignies</w:t>
      </w:r>
      <w:proofErr w:type="spellEnd"/>
      <w:r w:rsidRPr="00E613F6">
        <w:rPr>
          <w:rFonts w:ascii="Arial" w:hAnsi="Arial" w:cs="Arial"/>
          <w:sz w:val="22"/>
          <w:szCs w:val="22"/>
          <w:lang w:val="en-GB"/>
        </w:rPr>
        <w:t xml:space="preserve"> and Liège (Wallonia Region)</w:t>
      </w:r>
    </w:p>
    <w:p w:rsidR="00E613F6" w:rsidRDefault="00E613F6" w:rsidP="00E613F6">
      <w:pPr>
        <w:pStyle w:val="Titre3"/>
        <w:rPr>
          <w:lang w:val="en-GB"/>
        </w:rPr>
      </w:pPr>
      <w:r>
        <w:rPr>
          <w:lang w:val="en-GB"/>
        </w:rPr>
        <w:t>Key variables</w:t>
      </w:r>
    </w:p>
    <w:p w:rsidR="00393E57" w:rsidRDefault="00393E57" w:rsidP="00DF6285">
      <w:pPr>
        <w:spacing w:before="120" w:line="276" w:lineRule="auto"/>
        <w:rPr>
          <w:rFonts w:ascii="Arial" w:hAnsi="Arial" w:cs="Arial"/>
          <w:sz w:val="22"/>
          <w:szCs w:val="22"/>
          <w:lang w:val="en-GB"/>
        </w:rPr>
      </w:pPr>
      <w:r>
        <w:rPr>
          <w:rFonts w:ascii="Arial" w:hAnsi="Arial" w:cs="Arial"/>
          <w:sz w:val="22"/>
          <w:szCs w:val="22"/>
          <w:lang w:val="en-GB"/>
        </w:rPr>
        <w:t>T</w:t>
      </w:r>
      <w:r w:rsidR="00DF6285" w:rsidRPr="0035799B">
        <w:rPr>
          <w:rFonts w:ascii="Arial" w:hAnsi="Arial" w:cs="Arial"/>
          <w:sz w:val="22"/>
          <w:szCs w:val="22"/>
          <w:lang w:val="en-GB"/>
        </w:rPr>
        <w:t xml:space="preserve">he </w:t>
      </w:r>
      <w:proofErr w:type="gramStart"/>
      <w:r w:rsidR="00DF6285" w:rsidRPr="0035799B">
        <w:rPr>
          <w:rFonts w:ascii="Arial" w:hAnsi="Arial" w:cs="Arial"/>
          <w:sz w:val="22"/>
          <w:szCs w:val="22"/>
          <w:lang w:val="en-GB"/>
        </w:rPr>
        <w:t xml:space="preserve">questions </w:t>
      </w:r>
      <w:r w:rsidR="00DF6285" w:rsidRPr="0035799B">
        <w:rPr>
          <w:rFonts w:ascii="Arial" w:hAnsi="Arial" w:cs="Arial"/>
          <w:sz w:val="22"/>
          <w:szCs w:val="22"/>
          <w:lang w:val="en-GB"/>
        </w:rPr>
        <w:t xml:space="preserve"> of</w:t>
      </w:r>
      <w:proofErr w:type="gramEnd"/>
      <w:r w:rsidR="00DF6285" w:rsidRPr="0035799B">
        <w:rPr>
          <w:rFonts w:ascii="Arial" w:hAnsi="Arial" w:cs="Arial"/>
          <w:sz w:val="22"/>
          <w:szCs w:val="22"/>
          <w:lang w:val="en-GB"/>
        </w:rPr>
        <w:t xml:space="preserve"> the empirical survey </w:t>
      </w:r>
      <w:r w:rsidR="0035799B">
        <w:rPr>
          <w:rFonts w:ascii="Arial" w:hAnsi="Arial" w:cs="Arial"/>
          <w:sz w:val="22"/>
          <w:szCs w:val="22"/>
          <w:lang w:val="en-GB"/>
        </w:rPr>
        <w:t>focuses</w:t>
      </w:r>
      <w:r w:rsidR="00DF6285" w:rsidRPr="0035799B">
        <w:rPr>
          <w:rFonts w:ascii="Arial" w:hAnsi="Arial" w:cs="Arial"/>
          <w:sz w:val="22"/>
          <w:szCs w:val="22"/>
          <w:lang w:val="en-GB"/>
        </w:rPr>
        <w:t xml:space="preserve"> on mapping the social relations for cooperation (outcome variable), in function of three key dimensions: (1) knowledge exchange networks, (2) participatory governance, (3) analysis of divergence/convergence of beliefs and dynamics of influence on change in beliefs. </w:t>
      </w:r>
    </w:p>
    <w:p w:rsidR="00393E57" w:rsidRDefault="00393E57" w:rsidP="00393E57">
      <w:pPr>
        <w:pStyle w:val="Titre2"/>
        <w:rPr>
          <w:lang w:val="en-GB"/>
        </w:rPr>
      </w:pPr>
      <w:r>
        <w:rPr>
          <w:lang w:val="en-GB"/>
        </w:rPr>
        <w:t>References</w:t>
      </w:r>
    </w:p>
    <w:p w:rsidR="00393E57" w:rsidRDefault="00393E57" w:rsidP="00393E57">
      <w:pPr>
        <w:spacing w:line="276" w:lineRule="auto"/>
        <w:rPr>
          <w:rFonts w:ascii="Arial" w:hAnsi="Arial" w:cs="Arial"/>
          <w:sz w:val="22"/>
          <w:szCs w:val="22"/>
          <w:lang w:val="en-GB"/>
        </w:rPr>
      </w:pPr>
    </w:p>
    <w:p w:rsidR="00C06F0F" w:rsidRPr="002B339F" w:rsidRDefault="00C06F0F" w:rsidP="00C06F0F">
      <w:pPr>
        <w:spacing w:before="120" w:after="120" w:line="276" w:lineRule="auto"/>
        <w:rPr>
          <w:rFonts w:asciiTheme="minorHAnsi" w:hAnsiTheme="minorHAnsi"/>
          <w:sz w:val="20"/>
          <w:szCs w:val="20"/>
          <w:lang w:val="en-GB" w:eastAsia="en-GB"/>
        </w:rPr>
      </w:pPr>
      <w:proofErr w:type="spellStart"/>
      <w:proofErr w:type="gramStart"/>
      <w:r w:rsidRPr="002B339F">
        <w:rPr>
          <w:rFonts w:asciiTheme="minorHAnsi" w:hAnsiTheme="minorHAnsi"/>
          <w:sz w:val="20"/>
          <w:szCs w:val="20"/>
          <w:lang w:val="en-GB" w:eastAsia="en-GB"/>
        </w:rPr>
        <w:t>Bendt</w:t>
      </w:r>
      <w:proofErr w:type="spellEnd"/>
      <w:r w:rsidRPr="002B339F">
        <w:rPr>
          <w:rFonts w:asciiTheme="minorHAnsi" w:hAnsiTheme="minorHAnsi"/>
          <w:sz w:val="20"/>
          <w:szCs w:val="20"/>
          <w:lang w:val="en-GB" w:eastAsia="en-GB"/>
        </w:rPr>
        <w:t xml:space="preserve">, P., </w:t>
      </w:r>
      <w:proofErr w:type="spellStart"/>
      <w:r w:rsidRPr="002B339F">
        <w:rPr>
          <w:rFonts w:asciiTheme="minorHAnsi" w:hAnsiTheme="minorHAnsi"/>
          <w:sz w:val="20"/>
          <w:szCs w:val="20"/>
          <w:lang w:val="en-GB" w:eastAsia="en-GB"/>
        </w:rPr>
        <w:t>Barthel</w:t>
      </w:r>
      <w:proofErr w:type="spellEnd"/>
      <w:r w:rsidRPr="002B339F">
        <w:rPr>
          <w:rFonts w:asciiTheme="minorHAnsi" w:hAnsiTheme="minorHAnsi"/>
          <w:sz w:val="20"/>
          <w:szCs w:val="20"/>
          <w:lang w:val="en-GB" w:eastAsia="en-GB"/>
        </w:rPr>
        <w:t xml:space="preserve">, S. &amp; </w:t>
      </w:r>
      <w:proofErr w:type="spellStart"/>
      <w:r w:rsidRPr="002B339F">
        <w:rPr>
          <w:rFonts w:asciiTheme="minorHAnsi" w:hAnsiTheme="minorHAnsi"/>
          <w:sz w:val="20"/>
          <w:szCs w:val="20"/>
          <w:lang w:val="en-GB" w:eastAsia="en-GB"/>
        </w:rPr>
        <w:t>Colding</w:t>
      </w:r>
      <w:proofErr w:type="spellEnd"/>
      <w:r w:rsidRPr="002B339F">
        <w:rPr>
          <w:rFonts w:asciiTheme="minorHAnsi" w:hAnsiTheme="minorHAnsi"/>
          <w:sz w:val="20"/>
          <w:szCs w:val="20"/>
          <w:lang w:val="en-GB" w:eastAsia="en-GB"/>
        </w:rPr>
        <w:t>, J., 2013.</w:t>
      </w:r>
      <w:proofErr w:type="gramEnd"/>
      <w:r w:rsidRPr="002B339F">
        <w:rPr>
          <w:rFonts w:asciiTheme="minorHAnsi" w:hAnsiTheme="minorHAnsi"/>
          <w:sz w:val="20"/>
          <w:szCs w:val="20"/>
          <w:lang w:val="en-GB" w:eastAsia="en-GB"/>
        </w:rPr>
        <w:t xml:space="preserve"> </w:t>
      </w:r>
      <w:proofErr w:type="gramStart"/>
      <w:r w:rsidRPr="002B339F">
        <w:rPr>
          <w:rFonts w:asciiTheme="minorHAnsi" w:hAnsiTheme="minorHAnsi"/>
          <w:sz w:val="20"/>
          <w:szCs w:val="20"/>
          <w:lang w:val="en-GB" w:eastAsia="en-GB"/>
        </w:rPr>
        <w:t>Civic greening and environmental learning in public-access community gardens in Berlin.</w:t>
      </w:r>
      <w:proofErr w:type="gramEnd"/>
      <w:r w:rsidRPr="002B339F">
        <w:rPr>
          <w:rFonts w:asciiTheme="minorHAnsi" w:hAnsiTheme="minorHAnsi"/>
          <w:sz w:val="20"/>
          <w:szCs w:val="20"/>
          <w:lang w:val="en-GB" w:eastAsia="en-GB"/>
        </w:rPr>
        <w:t xml:space="preserve"> </w:t>
      </w:r>
      <w:proofErr w:type="gramStart"/>
      <w:r w:rsidRPr="002B339F">
        <w:rPr>
          <w:rFonts w:asciiTheme="minorHAnsi" w:hAnsiTheme="minorHAnsi"/>
          <w:sz w:val="20"/>
          <w:szCs w:val="20"/>
          <w:lang w:val="en-GB" w:eastAsia="en-GB"/>
        </w:rPr>
        <w:t>Landscape and Urban Planning, 109(1), pp.18–30.</w:t>
      </w:r>
      <w:proofErr w:type="gramEnd"/>
      <w:r w:rsidRPr="002B339F">
        <w:rPr>
          <w:rFonts w:asciiTheme="minorHAnsi" w:hAnsiTheme="minorHAnsi"/>
          <w:sz w:val="20"/>
          <w:szCs w:val="20"/>
          <w:lang w:val="en-GB" w:eastAsia="en-GB"/>
        </w:rPr>
        <w:t xml:space="preserve"> Available at: http://dx.doi.org/10.1016/j.landurbplan.2012.10.003.</w:t>
      </w:r>
    </w:p>
    <w:p w:rsidR="00C06F0F" w:rsidRPr="002B339F" w:rsidRDefault="00C06F0F" w:rsidP="00C06F0F">
      <w:pPr>
        <w:spacing w:before="120" w:line="276" w:lineRule="auto"/>
        <w:jc w:val="both"/>
        <w:rPr>
          <w:rFonts w:asciiTheme="minorHAnsi" w:hAnsiTheme="minorHAnsi"/>
          <w:sz w:val="20"/>
          <w:szCs w:val="20"/>
          <w:lang w:val="en-GB"/>
        </w:rPr>
      </w:pPr>
      <w:proofErr w:type="spellStart"/>
      <w:r w:rsidRPr="002B339F">
        <w:rPr>
          <w:rFonts w:asciiTheme="minorHAnsi" w:hAnsiTheme="minorHAnsi"/>
          <w:sz w:val="20"/>
          <w:szCs w:val="20"/>
          <w:lang w:val="en-GB"/>
        </w:rPr>
        <w:t>Berkes</w:t>
      </w:r>
      <w:proofErr w:type="spellEnd"/>
      <w:r w:rsidRPr="002B339F">
        <w:rPr>
          <w:rFonts w:asciiTheme="minorHAnsi" w:hAnsiTheme="minorHAnsi"/>
          <w:sz w:val="20"/>
          <w:szCs w:val="20"/>
          <w:lang w:val="en-GB"/>
        </w:rPr>
        <w:t>, F. 2009. Evolution of co-management: Role of knowledge generation, bridging organizations and social learning. Journal of Environmental Management 90: 1692-1702.</w:t>
      </w:r>
    </w:p>
    <w:p w:rsidR="00C06F0F" w:rsidRPr="002B339F" w:rsidRDefault="00C06F0F" w:rsidP="00C06F0F">
      <w:pPr>
        <w:spacing w:before="120" w:line="276" w:lineRule="auto"/>
        <w:jc w:val="both"/>
        <w:rPr>
          <w:rFonts w:asciiTheme="minorHAnsi" w:hAnsiTheme="minorHAnsi"/>
          <w:sz w:val="20"/>
          <w:szCs w:val="20"/>
          <w:lang w:val="en-GB"/>
        </w:rPr>
      </w:pPr>
      <w:proofErr w:type="spellStart"/>
      <w:r w:rsidRPr="002B339F">
        <w:rPr>
          <w:rFonts w:asciiTheme="minorHAnsi" w:hAnsiTheme="minorHAnsi"/>
          <w:sz w:val="20"/>
          <w:szCs w:val="20"/>
          <w:lang w:val="en-GB"/>
        </w:rPr>
        <w:t>Bodin</w:t>
      </w:r>
      <w:proofErr w:type="spellEnd"/>
      <w:r w:rsidRPr="002B339F">
        <w:rPr>
          <w:rFonts w:asciiTheme="minorHAnsi" w:hAnsiTheme="minorHAnsi"/>
          <w:sz w:val="20"/>
          <w:szCs w:val="20"/>
          <w:lang w:val="en-GB"/>
        </w:rPr>
        <w:t xml:space="preserve">, </w:t>
      </w:r>
      <w:proofErr w:type="gramStart"/>
      <w:r w:rsidRPr="002B339F">
        <w:rPr>
          <w:rFonts w:asciiTheme="minorHAnsi" w:hAnsiTheme="minorHAnsi"/>
          <w:sz w:val="20"/>
          <w:szCs w:val="20"/>
          <w:lang w:val="en-GB"/>
        </w:rPr>
        <w:t>Ö.,</w:t>
      </w:r>
      <w:proofErr w:type="gramEnd"/>
      <w:r w:rsidRPr="002B339F">
        <w:rPr>
          <w:rFonts w:asciiTheme="minorHAnsi" w:hAnsiTheme="minorHAnsi"/>
          <w:sz w:val="20"/>
          <w:szCs w:val="20"/>
          <w:lang w:val="en-GB"/>
        </w:rPr>
        <w:t xml:space="preserve"> </w:t>
      </w:r>
      <w:proofErr w:type="spellStart"/>
      <w:r w:rsidRPr="002B339F">
        <w:rPr>
          <w:rFonts w:asciiTheme="minorHAnsi" w:hAnsiTheme="minorHAnsi"/>
          <w:sz w:val="20"/>
          <w:szCs w:val="20"/>
          <w:lang w:val="en-GB"/>
        </w:rPr>
        <w:t>Prell</w:t>
      </w:r>
      <w:proofErr w:type="spellEnd"/>
      <w:r w:rsidRPr="002B339F">
        <w:rPr>
          <w:rFonts w:asciiTheme="minorHAnsi" w:hAnsiTheme="minorHAnsi"/>
          <w:sz w:val="20"/>
          <w:szCs w:val="20"/>
          <w:lang w:val="en-GB"/>
        </w:rPr>
        <w:t xml:space="preserve">, C. (Eds.). 2011. </w:t>
      </w:r>
      <w:r w:rsidRPr="002B339F">
        <w:rPr>
          <w:rFonts w:asciiTheme="minorHAnsi" w:hAnsiTheme="minorHAnsi"/>
          <w:iCs/>
          <w:sz w:val="20"/>
          <w:szCs w:val="20"/>
          <w:lang w:val="en-GB"/>
        </w:rPr>
        <w:t>Social networks and natural resource management: uncovering the social fabric of environmental governance</w:t>
      </w:r>
      <w:r w:rsidRPr="002B339F">
        <w:rPr>
          <w:rFonts w:asciiTheme="minorHAnsi" w:hAnsiTheme="minorHAnsi"/>
          <w:sz w:val="20"/>
          <w:szCs w:val="20"/>
          <w:lang w:val="en-GB"/>
        </w:rPr>
        <w:t>. Cambridge (UK): Cambridge University Press.</w:t>
      </w:r>
    </w:p>
    <w:p w:rsidR="00C06F0F" w:rsidRPr="002B339F" w:rsidRDefault="00C06F0F" w:rsidP="00C06F0F">
      <w:pPr>
        <w:spacing w:before="120" w:line="276" w:lineRule="auto"/>
        <w:jc w:val="both"/>
        <w:rPr>
          <w:rFonts w:asciiTheme="minorHAnsi" w:hAnsiTheme="minorHAnsi"/>
          <w:sz w:val="20"/>
          <w:szCs w:val="20"/>
          <w:lang w:val="fr-BE"/>
        </w:rPr>
      </w:pPr>
      <w:proofErr w:type="spellStart"/>
      <w:r w:rsidRPr="002B339F">
        <w:rPr>
          <w:rFonts w:asciiTheme="minorHAnsi" w:hAnsiTheme="minorHAnsi"/>
          <w:sz w:val="20"/>
          <w:szCs w:val="20"/>
          <w:lang w:val="en-GB"/>
        </w:rPr>
        <w:t>Dedeurwaerdere</w:t>
      </w:r>
      <w:proofErr w:type="spellEnd"/>
      <w:r w:rsidRPr="002B339F">
        <w:rPr>
          <w:rFonts w:asciiTheme="minorHAnsi" w:hAnsiTheme="minorHAnsi"/>
          <w:sz w:val="20"/>
          <w:szCs w:val="20"/>
          <w:lang w:val="en-GB"/>
        </w:rPr>
        <w:t xml:space="preserve">, T. 2005. </w:t>
      </w:r>
      <w:proofErr w:type="gramStart"/>
      <w:r w:rsidRPr="002B339F">
        <w:rPr>
          <w:rFonts w:asciiTheme="minorHAnsi" w:hAnsiTheme="minorHAnsi"/>
          <w:sz w:val="20"/>
          <w:szCs w:val="20"/>
          <w:lang w:val="en-GB"/>
        </w:rPr>
        <w:t>The Contribution of Network Governance to Sustainable Development.</w:t>
      </w:r>
      <w:proofErr w:type="gramEnd"/>
      <w:r w:rsidRPr="002B339F">
        <w:rPr>
          <w:rFonts w:asciiTheme="minorHAnsi" w:hAnsiTheme="minorHAnsi"/>
          <w:sz w:val="20"/>
          <w:szCs w:val="20"/>
          <w:lang w:val="en-GB"/>
        </w:rPr>
        <w:t xml:space="preserve"> </w:t>
      </w:r>
      <w:proofErr w:type="spellStart"/>
      <w:r w:rsidRPr="002B339F">
        <w:rPr>
          <w:rFonts w:asciiTheme="minorHAnsi" w:hAnsiTheme="minorHAnsi"/>
          <w:sz w:val="20"/>
          <w:szCs w:val="20"/>
          <w:lang w:val="fr-BE"/>
        </w:rPr>
        <w:t>Working</w:t>
      </w:r>
      <w:proofErr w:type="spellEnd"/>
      <w:r w:rsidRPr="002B339F">
        <w:rPr>
          <w:rFonts w:asciiTheme="minorHAnsi" w:hAnsiTheme="minorHAnsi"/>
          <w:sz w:val="20"/>
          <w:szCs w:val="20"/>
          <w:lang w:val="fr-BE"/>
        </w:rPr>
        <w:t xml:space="preserve"> Paper </w:t>
      </w:r>
      <w:proofErr w:type="spellStart"/>
      <w:r w:rsidRPr="002B339F">
        <w:rPr>
          <w:rFonts w:asciiTheme="minorHAnsi" w:hAnsiTheme="minorHAnsi"/>
          <w:sz w:val="20"/>
          <w:szCs w:val="20"/>
          <w:lang w:val="fr-BE"/>
        </w:rPr>
        <w:t>Series</w:t>
      </w:r>
      <w:proofErr w:type="spellEnd"/>
      <w:r w:rsidRPr="002B339F">
        <w:rPr>
          <w:rFonts w:asciiTheme="minorHAnsi" w:hAnsiTheme="minorHAnsi"/>
          <w:sz w:val="20"/>
          <w:szCs w:val="20"/>
          <w:lang w:val="fr-BE"/>
        </w:rPr>
        <w:t>, Les séminaires de l’IDDRI, n°13.</w:t>
      </w:r>
    </w:p>
    <w:p w:rsidR="00C06F0F" w:rsidRPr="002B339F" w:rsidRDefault="00C06F0F" w:rsidP="00C06F0F">
      <w:pPr>
        <w:spacing w:before="120" w:line="276" w:lineRule="auto"/>
        <w:jc w:val="both"/>
        <w:rPr>
          <w:rFonts w:asciiTheme="minorHAnsi" w:hAnsiTheme="minorHAnsi"/>
          <w:sz w:val="20"/>
          <w:szCs w:val="20"/>
          <w:lang w:val="en-GB"/>
        </w:rPr>
      </w:pPr>
      <w:proofErr w:type="spellStart"/>
      <w:r w:rsidRPr="00C06F0F">
        <w:rPr>
          <w:rFonts w:asciiTheme="minorHAnsi" w:hAnsiTheme="minorHAnsi"/>
          <w:sz w:val="20"/>
          <w:szCs w:val="20"/>
          <w:lang w:val="en-GB"/>
        </w:rPr>
        <w:t>Dedeurwaerdere</w:t>
      </w:r>
      <w:proofErr w:type="spellEnd"/>
      <w:r w:rsidRPr="00C06F0F">
        <w:rPr>
          <w:rFonts w:asciiTheme="minorHAnsi" w:hAnsiTheme="minorHAnsi"/>
          <w:sz w:val="20"/>
          <w:szCs w:val="20"/>
          <w:lang w:val="en-GB"/>
        </w:rPr>
        <w:t xml:space="preserve">, T. 2007. </w:t>
      </w:r>
      <w:proofErr w:type="gramStart"/>
      <w:r w:rsidRPr="002B339F">
        <w:rPr>
          <w:rFonts w:asciiTheme="minorHAnsi" w:hAnsiTheme="minorHAnsi"/>
          <w:sz w:val="20"/>
          <w:szCs w:val="20"/>
          <w:lang w:val="en-GB"/>
        </w:rPr>
        <w:t>The contribution of network governance to sustainability impact assessment.</w:t>
      </w:r>
      <w:proofErr w:type="gramEnd"/>
      <w:r w:rsidRPr="002B339F">
        <w:rPr>
          <w:rFonts w:asciiTheme="minorHAnsi" w:hAnsiTheme="minorHAnsi"/>
          <w:sz w:val="20"/>
          <w:szCs w:val="20"/>
          <w:lang w:val="en-GB"/>
        </w:rPr>
        <w:t xml:space="preserve"> </w:t>
      </w:r>
      <w:proofErr w:type="gramStart"/>
      <w:r w:rsidRPr="002B339F">
        <w:rPr>
          <w:rFonts w:asciiTheme="minorHAnsi" w:hAnsiTheme="minorHAnsi"/>
          <w:sz w:val="20"/>
          <w:szCs w:val="20"/>
          <w:lang w:val="en-GB"/>
        </w:rPr>
        <w:t>In Participation for Sustainability in Trade, ed. S.</w:t>
      </w:r>
      <w:proofErr w:type="gramEnd"/>
      <w:r w:rsidRPr="002B339F">
        <w:rPr>
          <w:rFonts w:asciiTheme="minorHAnsi" w:hAnsiTheme="minorHAnsi"/>
          <w:sz w:val="20"/>
          <w:szCs w:val="20"/>
          <w:lang w:val="en-GB"/>
        </w:rPr>
        <w:t xml:space="preserve">  </w:t>
      </w:r>
      <w:proofErr w:type="spellStart"/>
      <w:r w:rsidRPr="002B339F">
        <w:rPr>
          <w:rFonts w:asciiTheme="minorHAnsi" w:hAnsiTheme="minorHAnsi"/>
          <w:sz w:val="20"/>
          <w:szCs w:val="20"/>
          <w:lang w:val="en-GB"/>
        </w:rPr>
        <w:t>Toyer</w:t>
      </w:r>
      <w:proofErr w:type="spellEnd"/>
      <w:r w:rsidRPr="002B339F">
        <w:rPr>
          <w:rFonts w:asciiTheme="minorHAnsi" w:hAnsiTheme="minorHAnsi"/>
          <w:sz w:val="20"/>
          <w:szCs w:val="20"/>
          <w:lang w:val="en-GB"/>
        </w:rPr>
        <w:t xml:space="preserve"> and B. </w:t>
      </w:r>
      <w:proofErr w:type="spellStart"/>
      <w:r w:rsidRPr="002B339F">
        <w:rPr>
          <w:rFonts w:asciiTheme="minorHAnsi" w:hAnsiTheme="minorHAnsi"/>
          <w:sz w:val="20"/>
          <w:szCs w:val="20"/>
          <w:lang w:val="en-GB"/>
        </w:rPr>
        <w:t>Martimort-Asso</w:t>
      </w:r>
      <w:proofErr w:type="spellEnd"/>
      <w:r w:rsidRPr="002B339F">
        <w:rPr>
          <w:rFonts w:asciiTheme="minorHAnsi" w:hAnsiTheme="minorHAnsi"/>
          <w:sz w:val="20"/>
          <w:szCs w:val="20"/>
          <w:lang w:val="en-GB"/>
        </w:rPr>
        <w:t xml:space="preserve">, 209-228. Hampshire: </w:t>
      </w:r>
      <w:proofErr w:type="spellStart"/>
      <w:r w:rsidRPr="002B339F">
        <w:rPr>
          <w:rFonts w:asciiTheme="minorHAnsi" w:hAnsiTheme="minorHAnsi"/>
          <w:sz w:val="20"/>
          <w:szCs w:val="20"/>
          <w:lang w:val="en-GB"/>
        </w:rPr>
        <w:t>Ashgate</w:t>
      </w:r>
      <w:proofErr w:type="spellEnd"/>
      <w:r w:rsidRPr="002B339F">
        <w:rPr>
          <w:rFonts w:asciiTheme="minorHAnsi" w:hAnsiTheme="minorHAnsi"/>
          <w:sz w:val="20"/>
          <w:szCs w:val="20"/>
          <w:lang w:val="en-GB"/>
        </w:rPr>
        <w:t>.</w:t>
      </w:r>
    </w:p>
    <w:p w:rsidR="00C06F0F" w:rsidRPr="002B339F" w:rsidRDefault="00C06F0F" w:rsidP="00C06F0F">
      <w:pPr>
        <w:spacing w:before="120" w:line="276" w:lineRule="auto"/>
        <w:jc w:val="both"/>
        <w:rPr>
          <w:rFonts w:asciiTheme="minorHAnsi" w:hAnsiTheme="minorHAnsi"/>
          <w:sz w:val="20"/>
          <w:szCs w:val="20"/>
          <w:lang w:val="en-GB"/>
        </w:rPr>
      </w:pPr>
      <w:proofErr w:type="gramStart"/>
      <w:r w:rsidRPr="002B339F">
        <w:rPr>
          <w:rFonts w:asciiTheme="minorHAnsi" w:hAnsiTheme="minorHAnsi"/>
          <w:sz w:val="20"/>
          <w:szCs w:val="20"/>
          <w:lang w:val="en-GB"/>
        </w:rPr>
        <w:t xml:space="preserve">Innes, J.E., and D. </w:t>
      </w:r>
      <w:proofErr w:type="spellStart"/>
      <w:r w:rsidRPr="002B339F">
        <w:rPr>
          <w:rFonts w:asciiTheme="minorHAnsi" w:hAnsiTheme="minorHAnsi"/>
          <w:sz w:val="20"/>
          <w:szCs w:val="20"/>
          <w:lang w:val="en-GB"/>
        </w:rPr>
        <w:t>Booher</w:t>
      </w:r>
      <w:proofErr w:type="spellEnd"/>
      <w:r w:rsidRPr="002B339F">
        <w:rPr>
          <w:rFonts w:asciiTheme="minorHAnsi" w:hAnsiTheme="minorHAnsi"/>
          <w:sz w:val="20"/>
          <w:szCs w:val="20"/>
          <w:lang w:val="en-GB"/>
        </w:rPr>
        <w:t>.</w:t>
      </w:r>
      <w:proofErr w:type="gramEnd"/>
      <w:r w:rsidRPr="002B339F">
        <w:rPr>
          <w:rFonts w:asciiTheme="minorHAnsi" w:hAnsiTheme="minorHAnsi"/>
          <w:sz w:val="20"/>
          <w:szCs w:val="20"/>
          <w:lang w:val="en-GB"/>
        </w:rPr>
        <w:t xml:space="preserve"> 2010. Planning with Complexity. </w:t>
      </w:r>
      <w:proofErr w:type="gramStart"/>
      <w:r w:rsidRPr="002B339F">
        <w:rPr>
          <w:rFonts w:asciiTheme="minorHAnsi" w:hAnsiTheme="minorHAnsi"/>
          <w:sz w:val="20"/>
          <w:szCs w:val="20"/>
          <w:lang w:val="en-GB"/>
        </w:rPr>
        <w:t>Routledge.</w:t>
      </w:r>
      <w:proofErr w:type="gramEnd"/>
    </w:p>
    <w:p w:rsidR="00C06F0F" w:rsidRPr="002B339F" w:rsidRDefault="00C06F0F" w:rsidP="00C06F0F">
      <w:pPr>
        <w:spacing w:before="120" w:line="276" w:lineRule="auto"/>
        <w:jc w:val="both"/>
        <w:rPr>
          <w:rFonts w:asciiTheme="minorHAnsi" w:hAnsiTheme="minorHAnsi"/>
          <w:sz w:val="20"/>
          <w:szCs w:val="20"/>
          <w:lang w:val="en-GB"/>
        </w:rPr>
      </w:pPr>
      <w:proofErr w:type="spellStart"/>
      <w:r w:rsidRPr="002B339F">
        <w:rPr>
          <w:rFonts w:asciiTheme="minorHAnsi" w:hAnsiTheme="minorHAnsi"/>
          <w:sz w:val="20"/>
          <w:szCs w:val="20"/>
          <w:lang w:val="en-GB"/>
        </w:rPr>
        <w:t>Kroma</w:t>
      </w:r>
      <w:proofErr w:type="spellEnd"/>
      <w:r w:rsidRPr="002B339F">
        <w:rPr>
          <w:rFonts w:asciiTheme="minorHAnsi" w:hAnsiTheme="minorHAnsi"/>
          <w:sz w:val="20"/>
          <w:szCs w:val="20"/>
          <w:lang w:val="en-GB"/>
        </w:rPr>
        <w:t xml:space="preserve">, M.M., 2006. “Organic Farmer Networks: Facilitating Learning and Innovation for Sustainable Agriculture”. </w:t>
      </w:r>
      <w:proofErr w:type="gramStart"/>
      <w:r w:rsidRPr="002B339F">
        <w:rPr>
          <w:rFonts w:asciiTheme="minorHAnsi" w:hAnsiTheme="minorHAnsi"/>
          <w:sz w:val="20"/>
          <w:szCs w:val="20"/>
          <w:lang w:val="en-GB"/>
        </w:rPr>
        <w:t>Journal of Sustainable Agriculture, 28(4), pp.5–29.</w:t>
      </w:r>
      <w:proofErr w:type="gramEnd"/>
    </w:p>
    <w:p w:rsidR="00C06F0F" w:rsidRPr="002B339F" w:rsidRDefault="00C06F0F" w:rsidP="00C06F0F">
      <w:pPr>
        <w:spacing w:before="120" w:line="276" w:lineRule="auto"/>
        <w:jc w:val="both"/>
        <w:rPr>
          <w:rFonts w:asciiTheme="minorHAnsi" w:hAnsiTheme="minorHAnsi"/>
          <w:sz w:val="20"/>
          <w:szCs w:val="20"/>
          <w:lang w:val="en-GB"/>
        </w:rPr>
      </w:pPr>
      <w:proofErr w:type="spellStart"/>
      <w:proofErr w:type="gramStart"/>
      <w:r w:rsidRPr="002B339F">
        <w:rPr>
          <w:rFonts w:asciiTheme="minorHAnsi" w:hAnsiTheme="minorHAnsi"/>
          <w:sz w:val="20"/>
          <w:szCs w:val="20"/>
          <w:lang w:val="en-GB"/>
        </w:rPr>
        <w:t>Mathe</w:t>
      </w:r>
      <w:proofErr w:type="spellEnd"/>
      <w:r w:rsidRPr="002B339F">
        <w:rPr>
          <w:rFonts w:asciiTheme="minorHAnsi" w:hAnsiTheme="minorHAnsi"/>
          <w:sz w:val="20"/>
          <w:szCs w:val="20"/>
          <w:lang w:val="en-GB"/>
        </w:rPr>
        <w:t xml:space="preserve">, J., and A. </w:t>
      </w:r>
      <w:proofErr w:type="spellStart"/>
      <w:r w:rsidRPr="002B339F">
        <w:rPr>
          <w:rFonts w:asciiTheme="minorHAnsi" w:hAnsiTheme="minorHAnsi"/>
          <w:sz w:val="20"/>
          <w:szCs w:val="20"/>
          <w:lang w:val="en-GB"/>
        </w:rPr>
        <w:t>Rivaud</w:t>
      </w:r>
      <w:proofErr w:type="spellEnd"/>
      <w:r w:rsidRPr="002B339F">
        <w:rPr>
          <w:rFonts w:asciiTheme="minorHAnsi" w:hAnsiTheme="minorHAnsi"/>
          <w:sz w:val="20"/>
          <w:szCs w:val="20"/>
          <w:lang w:val="en-GB"/>
        </w:rPr>
        <w:t>.</w:t>
      </w:r>
      <w:proofErr w:type="gramEnd"/>
      <w:r w:rsidRPr="002B339F">
        <w:rPr>
          <w:rFonts w:asciiTheme="minorHAnsi" w:hAnsiTheme="minorHAnsi"/>
          <w:sz w:val="20"/>
          <w:szCs w:val="20"/>
          <w:lang w:val="en-GB"/>
        </w:rPr>
        <w:t xml:space="preserve"> </w:t>
      </w:r>
      <w:r w:rsidRPr="002B339F">
        <w:rPr>
          <w:rFonts w:asciiTheme="minorHAnsi" w:hAnsiTheme="minorHAnsi"/>
          <w:sz w:val="20"/>
          <w:szCs w:val="20"/>
          <w:lang w:val="fr-BE"/>
        </w:rPr>
        <w:t xml:space="preserve">2009. Les </w:t>
      </w:r>
      <w:proofErr w:type="gramStart"/>
      <w:r w:rsidRPr="002B339F">
        <w:rPr>
          <w:rFonts w:asciiTheme="minorHAnsi" w:hAnsiTheme="minorHAnsi"/>
          <w:sz w:val="20"/>
          <w:szCs w:val="20"/>
          <w:lang w:val="fr-BE"/>
        </w:rPr>
        <w:t>enjeux cognitive</w:t>
      </w:r>
      <w:proofErr w:type="gramEnd"/>
      <w:r w:rsidRPr="002B339F">
        <w:rPr>
          <w:rFonts w:asciiTheme="minorHAnsi" w:hAnsiTheme="minorHAnsi"/>
          <w:sz w:val="20"/>
          <w:szCs w:val="20"/>
          <w:lang w:val="fr-BE"/>
        </w:rPr>
        <w:t xml:space="preserve"> du défi environnemental dans l’agriculture. XLVI </w:t>
      </w:r>
      <w:proofErr w:type="spellStart"/>
      <w:r w:rsidRPr="002B339F">
        <w:rPr>
          <w:rFonts w:asciiTheme="minorHAnsi" w:hAnsiTheme="minorHAnsi"/>
          <w:sz w:val="20"/>
          <w:szCs w:val="20"/>
          <w:lang w:val="fr-BE"/>
        </w:rPr>
        <w:t>ième</w:t>
      </w:r>
      <w:proofErr w:type="spellEnd"/>
      <w:r w:rsidRPr="002B339F">
        <w:rPr>
          <w:rFonts w:asciiTheme="minorHAnsi" w:hAnsiTheme="minorHAnsi"/>
          <w:sz w:val="20"/>
          <w:szCs w:val="20"/>
          <w:lang w:val="fr-BE"/>
        </w:rPr>
        <w:t xml:space="preserve"> colloque de l’Association de Science Régionale de Langue Française. </w:t>
      </w:r>
      <w:r w:rsidRPr="002B339F">
        <w:rPr>
          <w:rFonts w:asciiTheme="minorHAnsi" w:hAnsiTheme="minorHAnsi"/>
          <w:sz w:val="20"/>
          <w:szCs w:val="20"/>
          <w:lang w:val="en-GB"/>
        </w:rPr>
        <w:t xml:space="preserve">Clermont-Ferrand (France), 6-8 </w:t>
      </w:r>
      <w:proofErr w:type="spellStart"/>
      <w:r w:rsidRPr="002B339F">
        <w:rPr>
          <w:rFonts w:asciiTheme="minorHAnsi" w:hAnsiTheme="minorHAnsi"/>
          <w:sz w:val="20"/>
          <w:szCs w:val="20"/>
          <w:lang w:val="en-GB"/>
        </w:rPr>
        <w:t>juillet</w:t>
      </w:r>
      <w:proofErr w:type="spellEnd"/>
      <w:r w:rsidRPr="002B339F">
        <w:rPr>
          <w:rFonts w:asciiTheme="minorHAnsi" w:hAnsiTheme="minorHAnsi"/>
          <w:sz w:val="20"/>
          <w:szCs w:val="20"/>
          <w:lang w:val="en-GB"/>
        </w:rPr>
        <w:t xml:space="preserve"> 2009.</w:t>
      </w:r>
    </w:p>
    <w:p w:rsidR="00C06F0F" w:rsidRPr="002B339F" w:rsidRDefault="00C06F0F" w:rsidP="00C06F0F">
      <w:pPr>
        <w:spacing w:before="120" w:line="276" w:lineRule="auto"/>
        <w:jc w:val="both"/>
        <w:rPr>
          <w:rFonts w:asciiTheme="minorHAnsi" w:hAnsiTheme="minorHAnsi"/>
          <w:sz w:val="20"/>
          <w:szCs w:val="20"/>
          <w:lang w:val="en-GB"/>
        </w:rPr>
      </w:pPr>
      <w:proofErr w:type="spellStart"/>
      <w:proofErr w:type="gramStart"/>
      <w:r w:rsidRPr="002B339F">
        <w:rPr>
          <w:rFonts w:asciiTheme="minorHAnsi" w:hAnsiTheme="minorHAnsi"/>
          <w:sz w:val="20"/>
          <w:szCs w:val="20"/>
          <w:lang w:val="en-GB"/>
        </w:rPr>
        <w:t>Pahl-Wostl</w:t>
      </w:r>
      <w:proofErr w:type="spellEnd"/>
      <w:r w:rsidRPr="002B339F">
        <w:rPr>
          <w:rFonts w:asciiTheme="minorHAnsi" w:hAnsiTheme="minorHAnsi"/>
          <w:sz w:val="20"/>
          <w:szCs w:val="20"/>
          <w:lang w:val="en-GB"/>
        </w:rPr>
        <w:t>, C. 2009.</w:t>
      </w:r>
      <w:proofErr w:type="gramEnd"/>
      <w:r w:rsidRPr="002B339F">
        <w:rPr>
          <w:rFonts w:asciiTheme="minorHAnsi" w:hAnsiTheme="minorHAnsi"/>
          <w:sz w:val="20"/>
          <w:szCs w:val="20"/>
          <w:lang w:val="en-GB"/>
        </w:rPr>
        <w:t xml:space="preserve"> A conceptual framework for </w:t>
      </w:r>
      <w:proofErr w:type="spellStart"/>
      <w:r w:rsidRPr="002B339F">
        <w:rPr>
          <w:rFonts w:asciiTheme="minorHAnsi" w:hAnsiTheme="minorHAnsi"/>
          <w:sz w:val="20"/>
          <w:szCs w:val="20"/>
          <w:lang w:val="en-GB"/>
        </w:rPr>
        <w:t>analyzing</w:t>
      </w:r>
      <w:proofErr w:type="spellEnd"/>
      <w:r w:rsidRPr="002B339F">
        <w:rPr>
          <w:rFonts w:asciiTheme="minorHAnsi" w:hAnsiTheme="minorHAnsi"/>
          <w:sz w:val="20"/>
          <w:szCs w:val="20"/>
          <w:lang w:val="en-GB"/>
        </w:rPr>
        <w:t xml:space="preserve"> adaptive capacity and multi-level learning processes in resource governance regimes. Global Environmental Change 19: 354-365.</w:t>
      </w:r>
    </w:p>
    <w:p w:rsidR="00C06F0F" w:rsidRPr="002B339F" w:rsidRDefault="00C06F0F" w:rsidP="00C06F0F">
      <w:pPr>
        <w:spacing w:before="120" w:line="276" w:lineRule="auto"/>
        <w:jc w:val="both"/>
        <w:rPr>
          <w:rFonts w:asciiTheme="minorHAnsi" w:hAnsiTheme="minorHAnsi"/>
          <w:sz w:val="20"/>
          <w:szCs w:val="20"/>
          <w:lang w:val="en-GB"/>
        </w:rPr>
      </w:pPr>
      <w:proofErr w:type="gramStart"/>
      <w:r w:rsidRPr="002B339F">
        <w:rPr>
          <w:rFonts w:asciiTheme="minorHAnsi" w:hAnsiTheme="minorHAnsi"/>
          <w:sz w:val="20"/>
          <w:szCs w:val="20"/>
          <w:lang w:val="en-GB"/>
        </w:rPr>
        <w:t>Scott, M., 2004.</w:t>
      </w:r>
      <w:proofErr w:type="gramEnd"/>
      <w:r w:rsidRPr="002B339F">
        <w:rPr>
          <w:rFonts w:asciiTheme="minorHAnsi" w:hAnsiTheme="minorHAnsi"/>
          <w:sz w:val="20"/>
          <w:szCs w:val="20"/>
          <w:lang w:val="en-GB"/>
        </w:rPr>
        <w:t xml:space="preserve"> </w:t>
      </w:r>
      <w:proofErr w:type="gramStart"/>
      <w:r w:rsidRPr="002B339F">
        <w:rPr>
          <w:rFonts w:asciiTheme="minorHAnsi" w:hAnsiTheme="minorHAnsi"/>
          <w:sz w:val="20"/>
          <w:szCs w:val="20"/>
          <w:lang w:val="en-GB"/>
        </w:rPr>
        <w:t>“Building institutional capacity in rural Northern Ireland: the role of partnership governance in the LEADER II programme.”</w:t>
      </w:r>
      <w:proofErr w:type="gramEnd"/>
      <w:r w:rsidRPr="002B339F">
        <w:rPr>
          <w:rFonts w:asciiTheme="minorHAnsi" w:hAnsiTheme="minorHAnsi"/>
          <w:sz w:val="20"/>
          <w:szCs w:val="20"/>
          <w:lang w:val="en-GB"/>
        </w:rPr>
        <w:t xml:space="preserve"> </w:t>
      </w:r>
      <w:proofErr w:type="gramStart"/>
      <w:r w:rsidRPr="002B339F">
        <w:rPr>
          <w:rFonts w:asciiTheme="minorHAnsi" w:hAnsiTheme="minorHAnsi"/>
          <w:sz w:val="20"/>
          <w:szCs w:val="20"/>
          <w:lang w:val="en-GB"/>
        </w:rPr>
        <w:t>Journal of Rural Studies, 20(1), pp.49–59.</w:t>
      </w:r>
      <w:proofErr w:type="gramEnd"/>
      <w:r w:rsidRPr="002B339F">
        <w:rPr>
          <w:rFonts w:asciiTheme="minorHAnsi" w:hAnsiTheme="minorHAnsi"/>
          <w:sz w:val="20"/>
          <w:szCs w:val="20"/>
          <w:lang w:val="en-GB"/>
        </w:rPr>
        <w:t xml:space="preserve"> Available at: http://linkinghub.elsevier.com/retrieve/pii/S0743016703000421 [Accessed June 20, 2014].</w:t>
      </w:r>
    </w:p>
    <w:p w:rsidR="00C06F0F" w:rsidRPr="0057148C" w:rsidDel="0057148C" w:rsidRDefault="00C06F0F" w:rsidP="00C06F0F">
      <w:pPr>
        <w:spacing w:before="120" w:line="276" w:lineRule="auto"/>
        <w:jc w:val="both"/>
        <w:rPr>
          <w:rFonts w:asciiTheme="minorHAnsi" w:hAnsiTheme="minorHAnsi"/>
          <w:sz w:val="20"/>
          <w:szCs w:val="20"/>
          <w:lang w:val="en-GB"/>
        </w:rPr>
      </w:pPr>
      <w:proofErr w:type="spellStart"/>
      <w:proofErr w:type="gramStart"/>
      <w:r w:rsidRPr="002B339F">
        <w:rPr>
          <w:rFonts w:asciiTheme="minorHAnsi" w:hAnsiTheme="minorHAnsi"/>
          <w:sz w:val="20"/>
          <w:szCs w:val="20"/>
          <w:lang w:val="en-GB"/>
        </w:rPr>
        <w:t>Wunder</w:t>
      </w:r>
      <w:proofErr w:type="spellEnd"/>
      <w:r w:rsidRPr="002B339F">
        <w:rPr>
          <w:rFonts w:asciiTheme="minorHAnsi" w:hAnsiTheme="minorHAnsi"/>
          <w:sz w:val="20"/>
          <w:szCs w:val="20"/>
          <w:lang w:val="en-GB"/>
        </w:rPr>
        <w:t>, S., 2013.</w:t>
      </w:r>
      <w:proofErr w:type="gramEnd"/>
      <w:r w:rsidRPr="002B339F">
        <w:rPr>
          <w:rFonts w:asciiTheme="minorHAnsi" w:hAnsiTheme="minorHAnsi"/>
          <w:sz w:val="20"/>
          <w:szCs w:val="20"/>
          <w:lang w:val="en-GB"/>
        </w:rPr>
        <w:t xml:space="preserve"> “Learning for sustainable agriculture: urban </w:t>
      </w:r>
      <w:proofErr w:type="spellStart"/>
      <w:r w:rsidRPr="002B339F">
        <w:rPr>
          <w:rFonts w:asciiTheme="minorHAnsi" w:hAnsiTheme="minorHAnsi"/>
          <w:sz w:val="20"/>
          <w:szCs w:val="20"/>
          <w:lang w:val="en-GB"/>
        </w:rPr>
        <w:t>gardenin</w:t>
      </w:r>
      <w:proofErr w:type="spellEnd"/>
      <w:r w:rsidRPr="002B339F">
        <w:rPr>
          <w:rFonts w:asciiTheme="minorHAnsi" w:hAnsiTheme="minorHAnsi"/>
          <w:sz w:val="20"/>
          <w:szCs w:val="20"/>
          <w:lang w:val="en-GB"/>
        </w:rPr>
        <w:t xml:space="preserve"> in Berlin, with particular focus on </w:t>
      </w:r>
      <w:proofErr w:type="spellStart"/>
      <w:r w:rsidRPr="002B339F">
        <w:rPr>
          <w:rFonts w:asciiTheme="minorHAnsi" w:hAnsiTheme="minorHAnsi"/>
          <w:sz w:val="20"/>
          <w:szCs w:val="20"/>
          <w:lang w:val="en-GB"/>
        </w:rPr>
        <w:t>Allmende</w:t>
      </w:r>
      <w:proofErr w:type="spellEnd"/>
      <w:r w:rsidRPr="002B339F">
        <w:rPr>
          <w:rFonts w:asciiTheme="minorHAnsi" w:hAnsiTheme="minorHAnsi"/>
          <w:sz w:val="20"/>
          <w:szCs w:val="20"/>
          <w:lang w:val="en-GB"/>
        </w:rPr>
        <w:t xml:space="preserve"> </w:t>
      </w:r>
      <w:proofErr w:type="spellStart"/>
      <w:r w:rsidRPr="002B339F">
        <w:rPr>
          <w:rFonts w:asciiTheme="minorHAnsi" w:hAnsiTheme="minorHAnsi"/>
          <w:sz w:val="20"/>
          <w:szCs w:val="20"/>
          <w:lang w:val="en-GB"/>
        </w:rPr>
        <w:t>Kontor</w:t>
      </w:r>
      <w:proofErr w:type="spellEnd"/>
      <w:r w:rsidRPr="002B339F">
        <w:rPr>
          <w:rFonts w:asciiTheme="minorHAnsi" w:hAnsiTheme="minorHAnsi"/>
          <w:sz w:val="20"/>
          <w:szCs w:val="20"/>
          <w:lang w:val="en-GB"/>
        </w:rPr>
        <w:t>”, Berlin: Ecologic Institute.</w:t>
      </w:r>
    </w:p>
    <w:p w:rsidR="00C06F0F" w:rsidRPr="002B339F" w:rsidRDefault="00C06F0F" w:rsidP="00C06F0F">
      <w:pPr>
        <w:rPr>
          <w:lang w:val="en-GB"/>
        </w:rPr>
      </w:pPr>
    </w:p>
    <w:p w:rsidR="00C06F0F" w:rsidRPr="0035799B" w:rsidRDefault="00C06F0F" w:rsidP="00393E57">
      <w:pPr>
        <w:spacing w:line="276" w:lineRule="auto"/>
        <w:rPr>
          <w:rFonts w:ascii="Arial" w:hAnsi="Arial" w:cs="Arial"/>
          <w:sz w:val="22"/>
          <w:szCs w:val="22"/>
          <w:lang w:val="en-GB"/>
        </w:rPr>
      </w:pPr>
    </w:p>
    <w:sectPr w:rsidR="00C06F0F" w:rsidRPr="003579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D2B17"/>
    <w:multiLevelType w:val="hybridMultilevel"/>
    <w:tmpl w:val="9208A5E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285"/>
    <w:rsid w:val="00057B2A"/>
    <w:rsid w:val="002A5307"/>
    <w:rsid w:val="00342560"/>
    <w:rsid w:val="0035799B"/>
    <w:rsid w:val="00393E57"/>
    <w:rsid w:val="00692A07"/>
    <w:rsid w:val="008956D7"/>
    <w:rsid w:val="00C06F0F"/>
    <w:rsid w:val="00DF6285"/>
    <w:rsid w:val="00E613F6"/>
    <w:rsid w:val="00FE0A8B"/>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285"/>
    <w:pPr>
      <w:spacing w:after="0" w:line="240" w:lineRule="auto"/>
    </w:pPr>
    <w:rPr>
      <w:rFonts w:ascii="Cambria" w:eastAsia="MS Mincho" w:hAnsi="Cambria" w:cs="Times New Roman"/>
      <w:sz w:val="24"/>
      <w:szCs w:val="24"/>
      <w:lang w:val="de-DE" w:eastAsia="de-DE"/>
    </w:rPr>
  </w:style>
  <w:style w:type="paragraph" w:styleId="Titre1">
    <w:name w:val="heading 1"/>
    <w:basedOn w:val="Normal"/>
    <w:next w:val="Normal"/>
    <w:link w:val="Titre1Car"/>
    <w:uiPriority w:val="9"/>
    <w:qFormat/>
    <w:rsid w:val="00DF62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F62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DF6285"/>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F6285"/>
    <w:rPr>
      <w:rFonts w:asciiTheme="majorHAnsi" w:eastAsiaTheme="majorEastAsia" w:hAnsiTheme="majorHAnsi" w:cstheme="majorBidi"/>
      <w:b/>
      <w:bCs/>
      <w:color w:val="4F81BD" w:themeColor="accent1"/>
      <w:sz w:val="26"/>
      <w:szCs w:val="26"/>
      <w:lang w:val="de-DE" w:eastAsia="de-DE"/>
    </w:rPr>
  </w:style>
  <w:style w:type="character" w:customStyle="1" w:styleId="Titre3Car">
    <w:name w:val="Titre 3 Car"/>
    <w:basedOn w:val="Policepardfaut"/>
    <w:link w:val="Titre3"/>
    <w:uiPriority w:val="9"/>
    <w:rsid w:val="00DF6285"/>
    <w:rPr>
      <w:rFonts w:asciiTheme="majorHAnsi" w:eastAsiaTheme="majorEastAsia" w:hAnsiTheme="majorHAnsi" w:cstheme="majorBidi"/>
      <w:b/>
      <w:bCs/>
      <w:color w:val="4F81BD" w:themeColor="accent1"/>
      <w:sz w:val="24"/>
      <w:szCs w:val="24"/>
      <w:lang w:val="de-DE" w:eastAsia="de-DE"/>
    </w:rPr>
  </w:style>
  <w:style w:type="paragraph" w:styleId="Paragraphedeliste">
    <w:name w:val="List Paragraph"/>
    <w:basedOn w:val="Normal"/>
    <w:uiPriority w:val="34"/>
    <w:qFormat/>
    <w:rsid w:val="00DF6285"/>
    <w:pPr>
      <w:ind w:left="720"/>
      <w:contextualSpacing/>
    </w:pPr>
  </w:style>
  <w:style w:type="paragraph" w:styleId="Textedebulles">
    <w:name w:val="Balloon Text"/>
    <w:basedOn w:val="Normal"/>
    <w:link w:val="TextedebullesCar"/>
    <w:uiPriority w:val="99"/>
    <w:semiHidden/>
    <w:unhideWhenUsed/>
    <w:rsid w:val="00DF6285"/>
    <w:rPr>
      <w:rFonts w:ascii="Tahoma" w:hAnsi="Tahoma" w:cs="Tahoma"/>
      <w:sz w:val="16"/>
      <w:szCs w:val="16"/>
    </w:rPr>
  </w:style>
  <w:style w:type="character" w:customStyle="1" w:styleId="TextedebullesCar">
    <w:name w:val="Texte de bulles Car"/>
    <w:basedOn w:val="Policepardfaut"/>
    <w:link w:val="Textedebulles"/>
    <w:uiPriority w:val="99"/>
    <w:semiHidden/>
    <w:rsid w:val="00DF6285"/>
    <w:rPr>
      <w:rFonts w:ascii="Tahoma" w:eastAsia="MS Mincho" w:hAnsi="Tahoma" w:cs="Tahoma"/>
      <w:sz w:val="16"/>
      <w:szCs w:val="16"/>
      <w:lang w:val="de-DE" w:eastAsia="de-DE"/>
    </w:rPr>
  </w:style>
  <w:style w:type="character" w:customStyle="1" w:styleId="Titre1Car">
    <w:name w:val="Titre 1 Car"/>
    <w:basedOn w:val="Policepardfaut"/>
    <w:link w:val="Titre1"/>
    <w:uiPriority w:val="9"/>
    <w:rsid w:val="00DF6285"/>
    <w:rPr>
      <w:rFonts w:asciiTheme="majorHAnsi" w:eastAsiaTheme="majorEastAsia" w:hAnsiTheme="majorHAnsi" w:cstheme="majorBidi"/>
      <w:b/>
      <w:bCs/>
      <w:color w:val="365F91" w:themeColor="accent1" w:themeShade="BF"/>
      <w:sz w:val="28"/>
      <w:szCs w:val="28"/>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285"/>
    <w:pPr>
      <w:spacing w:after="0" w:line="240" w:lineRule="auto"/>
    </w:pPr>
    <w:rPr>
      <w:rFonts w:ascii="Cambria" w:eastAsia="MS Mincho" w:hAnsi="Cambria" w:cs="Times New Roman"/>
      <w:sz w:val="24"/>
      <w:szCs w:val="24"/>
      <w:lang w:val="de-DE" w:eastAsia="de-DE"/>
    </w:rPr>
  </w:style>
  <w:style w:type="paragraph" w:styleId="Titre1">
    <w:name w:val="heading 1"/>
    <w:basedOn w:val="Normal"/>
    <w:next w:val="Normal"/>
    <w:link w:val="Titre1Car"/>
    <w:uiPriority w:val="9"/>
    <w:qFormat/>
    <w:rsid w:val="00DF62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F62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DF6285"/>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F6285"/>
    <w:rPr>
      <w:rFonts w:asciiTheme="majorHAnsi" w:eastAsiaTheme="majorEastAsia" w:hAnsiTheme="majorHAnsi" w:cstheme="majorBidi"/>
      <w:b/>
      <w:bCs/>
      <w:color w:val="4F81BD" w:themeColor="accent1"/>
      <w:sz w:val="26"/>
      <w:szCs w:val="26"/>
      <w:lang w:val="de-DE" w:eastAsia="de-DE"/>
    </w:rPr>
  </w:style>
  <w:style w:type="character" w:customStyle="1" w:styleId="Titre3Car">
    <w:name w:val="Titre 3 Car"/>
    <w:basedOn w:val="Policepardfaut"/>
    <w:link w:val="Titre3"/>
    <w:uiPriority w:val="9"/>
    <w:rsid w:val="00DF6285"/>
    <w:rPr>
      <w:rFonts w:asciiTheme="majorHAnsi" w:eastAsiaTheme="majorEastAsia" w:hAnsiTheme="majorHAnsi" w:cstheme="majorBidi"/>
      <w:b/>
      <w:bCs/>
      <w:color w:val="4F81BD" w:themeColor="accent1"/>
      <w:sz w:val="24"/>
      <w:szCs w:val="24"/>
      <w:lang w:val="de-DE" w:eastAsia="de-DE"/>
    </w:rPr>
  </w:style>
  <w:style w:type="paragraph" w:styleId="Paragraphedeliste">
    <w:name w:val="List Paragraph"/>
    <w:basedOn w:val="Normal"/>
    <w:uiPriority w:val="34"/>
    <w:qFormat/>
    <w:rsid w:val="00DF6285"/>
    <w:pPr>
      <w:ind w:left="720"/>
      <w:contextualSpacing/>
    </w:pPr>
  </w:style>
  <w:style w:type="paragraph" w:styleId="Textedebulles">
    <w:name w:val="Balloon Text"/>
    <w:basedOn w:val="Normal"/>
    <w:link w:val="TextedebullesCar"/>
    <w:uiPriority w:val="99"/>
    <w:semiHidden/>
    <w:unhideWhenUsed/>
    <w:rsid w:val="00DF6285"/>
    <w:rPr>
      <w:rFonts w:ascii="Tahoma" w:hAnsi="Tahoma" w:cs="Tahoma"/>
      <w:sz w:val="16"/>
      <w:szCs w:val="16"/>
    </w:rPr>
  </w:style>
  <w:style w:type="character" w:customStyle="1" w:styleId="TextedebullesCar">
    <w:name w:val="Texte de bulles Car"/>
    <w:basedOn w:val="Policepardfaut"/>
    <w:link w:val="Textedebulles"/>
    <w:uiPriority w:val="99"/>
    <w:semiHidden/>
    <w:rsid w:val="00DF6285"/>
    <w:rPr>
      <w:rFonts w:ascii="Tahoma" w:eastAsia="MS Mincho" w:hAnsi="Tahoma" w:cs="Tahoma"/>
      <w:sz w:val="16"/>
      <w:szCs w:val="16"/>
      <w:lang w:val="de-DE" w:eastAsia="de-DE"/>
    </w:rPr>
  </w:style>
  <w:style w:type="character" w:customStyle="1" w:styleId="Titre1Car">
    <w:name w:val="Titre 1 Car"/>
    <w:basedOn w:val="Policepardfaut"/>
    <w:link w:val="Titre1"/>
    <w:uiPriority w:val="9"/>
    <w:rsid w:val="00DF6285"/>
    <w:rPr>
      <w:rFonts w:asciiTheme="majorHAnsi" w:eastAsiaTheme="majorEastAsia" w:hAnsiTheme="majorHAnsi" w:cstheme="majorBidi"/>
      <w:b/>
      <w:bCs/>
      <w:color w:val="365F91" w:themeColor="accent1" w:themeShade="BF"/>
      <w:sz w:val="28"/>
      <w:szCs w:val="2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1840</Words>
  <Characters>10121</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Université catholique de Louvain</Company>
  <LinksUpToDate>false</LinksUpToDate>
  <CharactersWithSpaces>11938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A</dc:creator>
  <cp:lastModifiedBy>Reviewer A</cp:lastModifiedBy>
  <cp:revision>8</cp:revision>
  <dcterms:created xsi:type="dcterms:W3CDTF">2014-11-28T13:22:00Z</dcterms:created>
  <dcterms:modified xsi:type="dcterms:W3CDTF">2014-11-28T13:47:00Z</dcterms:modified>
</cp:coreProperties>
</file>