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1E" w:rsidRDefault="00863055" w:rsidP="006D2E1E">
      <w:pPr>
        <w:spacing w:after="0"/>
        <w:jc w:val="center"/>
        <w:rPr>
          <w:rFonts w:cs="Arial"/>
          <w:b/>
        </w:rPr>
      </w:pPr>
      <w:r>
        <w:rPr>
          <w:rFonts w:cs="Arial"/>
          <w:b/>
        </w:rPr>
        <w:t>L</w:t>
      </w:r>
      <w:r w:rsidR="00C55A98" w:rsidRPr="00C55A98">
        <w:rPr>
          <w:rFonts w:cs="Arial"/>
          <w:b/>
        </w:rPr>
        <w:t>es circuits alternatifs de commercialisation du lait en Wallonie</w:t>
      </w:r>
    </w:p>
    <w:p w:rsidR="00E0670F" w:rsidRPr="00C55A98" w:rsidRDefault="006D2E1E" w:rsidP="00863055">
      <w:pPr>
        <w:jc w:val="center"/>
        <w:rPr>
          <w:rFonts w:cs="Arial"/>
          <w:b/>
        </w:rPr>
      </w:pPr>
      <w:r>
        <w:rPr>
          <w:rFonts w:cs="Arial"/>
          <w:b/>
        </w:rPr>
        <w:t>Éléments</w:t>
      </w:r>
      <w:r w:rsidR="00863055">
        <w:rPr>
          <w:rFonts w:cs="Arial"/>
          <w:b/>
        </w:rPr>
        <w:t xml:space="preserve"> déc</w:t>
      </w:r>
      <w:r>
        <w:rPr>
          <w:rFonts w:cs="Arial"/>
          <w:b/>
        </w:rPr>
        <w:t>lencheurs et facteurs de succès</w:t>
      </w:r>
    </w:p>
    <w:p w:rsidR="00C55A98" w:rsidRPr="00C55A98" w:rsidRDefault="00C55A98" w:rsidP="00C55A98">
      <w:pPr>
        <w:spacing w:after="0"/>
        <w:rPr>
          <w:rFonts w:cs="Arial"/>
        </w:rPr>
      </w:pPr>
      <w:proofErr w:type="spellStart"/>
      <w:r>
        <w:rPr>
          <w:rFonts w:cs="Arial"/>
        </w:rPr>
        <w:t>Thérésa</w:t>
      </w:r>
      <w:proofErr w:type="spellEnd"/>
      <w:r>
        <w:rPr>
          <w:rFonts w:cs="Arial"/>
        </w:rPr>
        <w:t xml:space="preserve"> Lebacq</w:t>
      </w:r>
      <w:r w:rsidRPr="00C55A98">
        <w:rPr>
          <w:rFonts w:cs="Arial"/>
          <w:vertAlign w:val="superscript"/>
        </w:rPr>
        <w:t>1</w:t>
      </w:r>
      <w:r>
        <w:rPr>
          <w:rFonts w:cs="Arial"/>
        </w:rPr>
        <w:t>*, Véronique De Herde</w:t>
      </w:r>
      <w:r w:rsidRPr="00C55A98">
        <w:rPr>
          <w:rFonts w:cs="Arial"/>
          <w:vertAlign w:val="superscript"/>
        </w:rPr>
        <w:t>1</w:t>
      </w:r>
      <w:r>
        <w:rPr>
          <w:rFonts w:cs="Arial"/>
        </w:rPr>
        <w:t>, Didier Stilmant</w:t>
      </w:r>
      <w:r w:rsidRPr="00C55A98">
        <w:rPr>
          <w:rFonts w:cs="Arial"/>
          <w:vertAlign w:val="superscript"/>
        </w:rPr>
        <w:t>2</w:t>
      </w:r>
      <w:r>
        <w:rPr>
          <w:rFonts w:cs="Arial"/>
        </w:rPr>
        <w:t>, Philippe Baret</w:t>
      </w:r>
      <w:r w:rsidRPr="00C55A98">
        <w:rPr>
          <w:rFonts w:cs="Arial"/>
          <w:vertAlign w:val="superscript"/>
        </w:rPr>
        <w:t>1</w:t>
      </w:r>
      <w:r>
        <w:rPr>
          <w:rFonts w:cs="Arial"/>
        </w:rPr>
        <w:t>*</w:t>
      </w:r>
    </w:p>
    <w:p w:rsidR="00C55A98" w:rsidRPr="00320FAD" w:rsidRDefault="00C55A98" w:rsidP="00C55A98">
      <w:pPr>
        <w:spacing w:after="0"/>
        <w:rPr>
          <w:rFonts w:cs="Arial"/>
        </w:rPr>
      </w:pPr>
      <w:r w:rsidRPr="00C55A98">
        <w:rPr>
          <w:rFonts w:cs="Arial"/>
          <w:vertAlign w:val="superscript"/>
        </w:rPr>
        <w:t>1</w:t>
      </w:r>
      <w:r>
        <w:rPr>
          <w:rFonts w:cs="Arial"/>
        </w:rPr>
        <w:t xml:space="preserve"> Université catholique de Louvain, </w:t>
      </w:r>
      <w:proofErr w:type="spellStart"/>
      <w:r>
        <w:rPr>
          <w:rFonts w:cs="Arial"/>
        </w:rPr>
        <w:t>Earth</w:t>
      </w:r>
      <w:proofErr w:type="spellEnd"/>
      <w:r>
        <w:rPr>
          <w:rFonts w:cs="Arial"/>
        </w:rPr>
        <w:t xml:space="preserve"> and Life Institute</w:t>
      </w:r>
      <w:r w:rsidR="00320FAD">
        <w:rPr>
          <w:rFonts w:cs="Arial"/>
        </w:rPr>
        <w:t xml:space="preserve"> </w:t>
      </w:r>
      <w:r w:rsidR="0030698F">
        <w:rPr>
          <w:rFonts w:cs="Arial"/>
        </w:rPr>
        <w:t>–</w:t>
      </w:r>
      <w:r w:rsidR="00320FAD">
        <w:rPr>
          <w:rFonts w:cs="Arial"/>
        </w:rPr>
        <w:t xml:space="preserve"> </w:t>
      </w:r>
      <w:proofErr w:type="spellStart"/>
      <w:r w:rsidR="00320FAD">
        <w:rPr>
          <w:rFonts w:cs="Arial"/>
          <w:caps/>
        </w:rPr>
        <w:t>A</w:t>
      </w:r>
      <w:r w:rsidR="00320FAD">
        <w:rPr>
          <w:rFonts w:cs="Arial"/>
        </w:rPr>
        <w:t>gronomy</w:t>
      </w:r>
      <w:proofErr w:type="spellEnd"/>
    </w:p>
    <w:p w:rsidR="00C55A98" w:rsidRDefault="00C55A98" w:rsidP="00C55A98">
      <w:pPr>
        <w:spacing w:after="0"/>
        <w:rPr>
          <w:rFonts w:cs="Arial"/>
        </w:rPr>
      </w:pPr>
      <w:r w:rsidRPr="00C55A98">
        <w:rPr>
          <w:rFonts w:cs="Arial"/>
          <w:vertAlign w:val="superscript"/>
        </w:rPr>
        <w:t>2</w:t>
      </w:r>
      <w:r>
        <w:rPr>
          <w:rFonts w:cs="Arial"/>
        </w:rPr>
        <w:t xml:space="preserve"> Centre wallon de Recherches agronomiques, Département Agriculture et Milieu naturel</w:t>
      </w:r>
    </w:p>
    <w:p w:rsidR="00C55A98" w:rsidRDefault="00C55A98" w:rsidP="00C55A98">
      <w:pPr>
        <w:spacing w:after="0"/>
        <w:rPr>
          <w:rFonts w:cs="Arial"/>
        </w:rPr>
      </w:pPr>
      <w:r>
        <w:rPr>
          <w:rFonts w:cs="Arial"/>
        </w:rPr>
        <w:t xml:space="preserve">* Correspondance : theresa.lebacq@uclouvain.be </w:t>
      </w:r>
      <w:r w:rsidRPr="00C45CED">
        <w:rPr>
          <w:rFonts w:cs="Arial"/>
          <w:u w:val="single"/>
        </w:rPr>
        <w:t>et</w:t>
      </w:r>
      <w:r>
        <w:rPr>
          <w:rFonts w:cs="Arial"/>
        </w:rPr>
        <w:t xml:space="preserve"> </w:t>
      </w:r>
      <w:r w:rsidRPr="00C55A98">
        <w:rPr>
          <w:rFonts w:cs="Arial"/>
        </w:rPr>
        <w:t>philippe.baret@uclouvain.be</w:t>
      </w:r>
    </w:p>
    <w:p w:rsidR="00C55A98" w:rsidRDefault="00C55A98" w:rsidP="00C55A98">
      <w:pPr>
        <w:spacing w:after="0"/>
        <w:rPr>
          <w:rFonts w:cs="Arial"/>
        </w:rPr>
      </w:pPr>
    </w:p>
    <w:p w:rsidR="00C55A98" w:rsidRDefault="00C55A98" w:rsidP="00C55A98">
      <w:pPr>
        <w:spacing w:after="0"/>
        <w:rPr>
          <w:rFonts w:cs="Arial"/>
        </w:rPr>
      </w:pPr>
      <w:r>
        <w:rPr>
          <w:rFonts w:cs="Arial"/>
        </w:rPr>
        <w:t>Formation disciplinaire : sciences agronomiques</w:t>
      </w:r>
    </w:p>
    <w:p w:rsidR="00C55A98" w:rsidRDefault="00C55A98" w:rsidP="00C55A98">
      <w:pPr>
        <w:spacing w:after="0"/>
        <w:rPr>
          <w:rFonts w:cs="Arial"/>
        </w:rPr>
      </w:pPr>
      <w:r>
        <w:rPr>
          <w:rFonts w:cs="Arial"/>
        </w:rPr>
        <w:t>Thème : Alimentation, agriculture, élevage</w:t>
      </w:r>
    </w:p>
    <w:p w:rsidR="00C55A98" w:rsidRDefault="00C55A98" w:rsidP="00C55A98">
      <w:pPr>
        <w:spacing w:after="0"/>
        <w:rPr>
          <w:rFonts w:cs="Arial"/>
        </w:rPr>
      </w:pPr>
    </w:p>
    <w:p w:rsidR="00C55A98" w:rsidRDefault="00C55A98" w:rsidP="00C55A98">
      <w:pPr>
        <w:pStyle w:val="Paragraphedeliste"/>
        <w:numPr>
          <w:ilvl w:val="0"/>
          <w:numId w:val="1"/>
        </w:numPr>
        <w:rPr>
          <w:rFonts w:cs="Arial"/>
        </w:rPr>
      </w:pPr>
      <w:r>
        <w:rPr>
          <w:rFonts w:cs="Arial"/>
        </w:rPr>
        <w:t>Contexte et objectifs</w:t>
      </w:r>
    </w:p>
    <w:p w:rsidR="003241D6" w:rsidRDefault="00C45CED" w:rsidP="003241D6">
      <w:pPr>
        <w:jc w:val="both"/>
        <w:rPr>
          <w:rFonts w:cs="Arial"/>
        </w:rPr>
      </w:pPr>
      <w:r>
        <w:rPr>
          <w:rFonts w:cs="Arial"/>
        </w:rPr>
        <w:t>Les circuits alt</w:t>
      </w:r>
      <w:r w:rsidR="003241D6">
        <w:rPr>
          <w:rFonts w:cs="Arial"/>
        </w:rPr>
        <w:t xml:space="preserve">ernatifs de commercialisation sont souvent considérés comme étant une solution permettant aux exploitations laitières de faire face aux défis économiques et culturels auxquels le secteur agricole est aujourd’hui confronté (augmentation du prix des intrants, volatilité des prix des produits agricoles, évolution des attentes sociétales). </w:t>
      </w:r>
      <w:r w:rsidR="003241D6" w:rsidRPr="003241D6">
        <w:rPr>
          <w:rFonts w:cs="Arial"/>
        </w:rPr>
        <w:t>Le terme « alternatif » se réfère à une situation se différenciant du circuit de commercialisation conventionnel caractérisé par la séquence « ferme – laiterie – industrie laitière – grande distribution »</w:t>
      </w:r>
      <w:r w:rsidR="003241D6">
        <w:rPr>
          <w:rFonts w:cs="Arial"/>
        </w:rPr>
        <w:t>. C</w:t>
      </w:r>
      <w:r w:rsidR="003241D6" w:rsidRPr="003241D6">
        <w:rPr>
          <w:rFonts w:cs="Arial"/>
        </w:rPr>
        <w:t xml:space="preserve">es circuits </w:t>
      </w:r>
      <w:r w:rsidR="003241D6">
        <w:rPr>
          <w:rFonts w:cs="Arial"/>
        </w:rPr>
        <w:t xml:space="preserve">alternatifs </w:t>
      </w:r>
      <w:r w:rsidR="003241D6" w:rsidRPr="003241D6">
        <w:rPr>
          <w:rFonts w:cs="Arial"/>
        </w:rPr>
        <w:t>intègrent une grande diversité de modes de commercialisation</w:t>
      </w:r>
      <w:r w:rsidR="003241D6">
        <w:rPr>
          <w:rFonts w:cs="Arial"/>
        </w:rPr>
        <w:t> : de la</w:t>
      </w:r>
      <w:r w:rsidR="003241D6" w:rsidRPr="003241D6">
        <w:rPr>
          <w:rFonts w:cs="Arial"/>
        </w:rPr>
        <w:t xml:space="preserve"> transformation du lait à la ferme et </w:t>
      </w:r>
      <w:r w:rsidR="003241D6">
        <w:rPr>
          <w:rFonts w:cs="Arial"/>
        </w:rPr>
        <w:t xml:space="preserve">de la vente des produits en </w:t>
      </w:r>
      <w:r w:rsidR="003241D6" w:rsidRPr="003241D6">
        <w:rPr>
          <w:rFonts w:cs="Arial"/>
        </w:rPr>
        <w:t xml:space="preserve">circuits </w:t>
      </w:r>
      <w:r w:rsidR="003241D6" w:rsidRPr="003241D6">
        <w:rPr>
          <w:rFonts w:cs="Arial"/>
          <w:i/>
        </w:rPr>
        <w:t>courts</w:t>
      </w:r>
      <w:r w:rsidR="003241D6" w:rsidRPr="003241D6">
        <w:rPr>
          <w:rFonts w:cs="Arial"/>
        </w:rPr>
        <w:t xml:space="preserve"> </w:t>
      </w:r>
      <w:r w:rsidR="003241D6">
        <w:rPr>
          <w:rFonts w:cs="Arial"/>
        </w:rPr>
        <w:t xml:space="preserve">– c’est-à-dire </w:t>
      </w:r>
      <w:r w:rsidR="003241D6" w:rsidRPr="003241D6">
        <w:rPr>
          <w:rFonts w:cs="Arial"/>
        </w:rPr>
        <w:t>caractérisés par la présence d’au plus un intermédiaire entre le producteur et le consommateur (vente par correspondance, points de vente collectifs, vente sur des marchés, etc.)</w:t>
      </w:r>
      <w:r w:rsidR="003241D6">
        <w:rPr>
          <w:rFonts w:cs="Arial"/>
        </w:rPr>
        <w:t xml:space="preserve"> – à </w:t>
      </w:r>
      <w:r w:rsidR="003241D6" w:rsidRPr="003241D6">
        <w:rPr>
          <w:rFonts w:cs="Arial"/>
        </w:rPr>
        <w:t xml:space="preserve">des circuits de type </w:t>
      </w:r>
      <w:r w:rsidR="003241D6" w:rsidRPr="003241D6">
        <w:rPr>
          <w:rFonts w:cs="Arial"/>
          <w:i/>
        </w:rPr>
        <w:t>long </w:t>
      </w:r>
      <w:r w:rsidR="003241D6" w:rsidRPr="003241D6">
        <w:rPr>
          <w:rFonts w:cs="Arial"/>
        </w:rPr>
        <w:t>: vente dans les grandes surfaces, à des grossistes, à des commerçants détaillants, vente du lait à une structure coopérative alternative ou à une fromagerie, vente à l’exportation</w:t>
      </w:r>
      <w:r w:rsidR="00692C43">
        <w:rPr>
          <w:rFonts w:cs="Arial"/>
        </w:rPr>
        <w:t>, etc.</w:t>
      </w:r>
      <w:r w:rsidR="003241D6" w:rsidRPr="003241D6">
        <w:rPr>
          <w:rFonts w:cs="Arial"/>
        </w:rPr>
        <w:t xml:space="preserve"> </w:t>
      </w:r>
      <w:r w:rsidR="003241D6" w:rsidRPr="003241D6">
        <w:rPr>
          <w:rFonts w:cs="Arial"/>
        </w:rPr>
        <w:fldChar w:fldCharType="begin"/>
      </w:r>
      <w:r w:rsidR="003241D6" w:rsidRPr="003241D6">
        <w:rPr>
          <w:rFonts w:cs="Arial"/>
        </w:rPr>
        <w:instrText xml:space="preserve"> ADDIN ZOTERO_ITEM CSL_CITATION {"citationID":"2c50q1q0","properties":{"formattedCitation":"(SPW - DGARNE, 2007)","plainCitation":"(SPW - DGARNE, 2007)"},"citationItems":[{"id":1591,"uris":["http://zotero.org/users/503973/items/XB84UQGX"],"uri":["http://zotero.org/users/503973/items/XB84UQGX"],"itemData":{"id":1591,"type":"report","title":"Etude du secteur laitier wallon. Synthèse et annexes.","publisher":"Direction générale de l'Agriculture, des Ressources naturelles et de l'environnement","publisher-place":"Namur","page":"231","event-place":"Namur","URL":"http://agriculture.wallonie.be/apps/spip_wolwin/IMG/pdf/Etude_secteur_laitier_wallon.pdf","author":[{"family":"SPW - DGARNE","given":""}],"issued":{"date-parts":[["2007"]]},"accessed":{"date-parts":[["2013",12,19]]}}}],"schema":"https://github.com/citation-style-language/schema/raw/master/csl-citation.json"} </w:instrText>
      </w:r>
      <w:r w:rsidR="003241D6" w:rsidRPr="003241D6">
        <w:rPr>
          <w:rFonts w:cs="Arial"/>
        </w:rPr>
        <w:fldChar w:fldCharType="separate"/>
      </w:r>
      <w:r w:rsidR="003241D6" w:rsidRPr="003241D6">
        <w:rPr>
          <w:rFonts w:cs="Arial"/>
        </w:rPr>
        <w:t>(SPW - DGARNE, 2007)</w:t>
      </w:r>
      <w:r w:rsidR="003241D6" w:rsidRPr="003241D6">
        <w:rPr>
          <w:rFonts w:cs="Arial"/>
        </w:rPr>
        <w:fldChar w:fldCharType="end"/>
      </w:r>
      <w:r w:rsidR="003241D6" w:rsidRPr="003241D6">
        <w:rPr>
          <w:rFonts w:cs="Arial"/>
        </w:rPr>
        <w:t>.</w:t>
      </w:r>
    </w:p>
    <w:p w:rsidR="0075115C" w:rsidRDefault="0075115C" w:rsidP="003241D6">
      <w:pPr>
        <w:jc w:val="both"/>
        <w:rPr>
          <w:rFonts w:cs="Arial"/>
        </w:rPr>
      </w:pPr>
      <w:r w:rsidRPr="0075115C">
        <w:rPr>
          <w:rFonts w:cs="Arial"/>
        </w:rPr>
        <w:t xml:space="preserve">Afin d’aller au-delà des atouts et des inconvénients relativement connus des circuits alternatifs de commercialisation du lait, ceux-ci ont été étudiés dans une perspective de transition et de trajectoire d’évolution des exploitations. </w:t>
      </w:r>
      <w:r>
        <w:rPr>
          <w:rFonts w:cs="Arial"/>
        </w:rPr>
        <w:t xml:space="preserve">Dans une telle logique, </w:t>
      </w:r>
      <w:r w:rsidR="00863055">
        <w:rPr>
          <w:rFonts w:cs="Arial"/>
        </w:rPr>
        <w:t xml:space="preserve">notre </w:t>
      </w:r>
      <w:r w:rsidRPr="0075115C">
        <w:rPr>
          <w:rFonts w:cs="Arial"/>
        </w:rPr>
        <w:t xml:space="preserve">objectif </w:t>
      </w:r>
      <w:r>
        <w:rPr>
          <w:rFonts w:cs="Arial"/>
        </w:rPr>
        <w:t xml:space="preserve">consiste à </w:t>
      </w:r>
      <w:r w:rsidRPr="0075115C">
        <w:rPr>
          <w:rFonts w:cs="Arial"/>
        </w:rPr>
        <w:t xml:space="preserve">identifier : (i) les éléments déclencheurs </w:t>
      </w:r>
      <w:r w:rsidR="00863055" w:rsidRPr="0075115C">
        <w:rPr>
          <w:rFonts w:cs="Arial"/>
        </w:rPr>
        <w:t>(</w:t>
      </w:r>
      <w:r w:rsidR="00863055" w:rsidRPr="0075115C">
        <w:rPr>
          <w:rFonts w:cs="Arial"/>
          <w:i/>
        </w:rPr>
        <w:t>drivers</w:t>
      </w:r>
      <w:r w:rsidR="00863055" w:rsidRPr="0075115C">
        <w:rPr>
          <w:rFonts w:cs="Arial"/>
        </w:rPr>
        <w:t>)</w:t>
      </w:r>
      <w:r w:rsidR="00863055">
        <w:rPr>
          <w:rFonts w:cs="Arial"/>
        </w:rPr>
        <w:t xml:space="preserve"> </w:t>
      </w:r>
      <w:r w:rsidRPr="0075115C">
        <w:rPr>
          <w:rFonts w:cs="Arial"/>
        </w:rPr>
        <w:t xml:space="preserve">expliquant </w:t>
      </w:r>
      <w:r w:rsidR="00863055">
        <w:rPr>
          <w:rFonts w:cs="Arial"/>
        </w:rPr>
        <w:t>l’engagement des éleveurs dans</w:t>
      </w:r>
      <w:r w:rsidRPr="0075115C">
        <w:rPr>
          <w:rFonts w:cs="Arial"/>
        </w:rPr>
        <w:t xml:space="preserve"> ces voies alternatives </w:t>
      </w:r>
      <w:r>
        <w:rPr>
          <w:rFonts w:cs="Arial"/>
        </w:rPr>
        <w:t>de commercialisation</w:t>
      </w:r>
      <w:r w:rsidRPr="0075115C">
        <w:rPr>
          <w:rFonts w:cs="Arial"/>
        </w:rPr>
        <w:t xml:space="preserve"> </w:t>
      </w:r>
      <w:r w:rsidR="00863055">
        <w:rPr>
          <w:rFonts w:cs="Arial"/>
        </w:rPr>
        <w:t xml:space="preserve">et </w:t>
      </w:r>
      <w:r w:rsidRPr="0075115C">
        <w:rPr>
          <w:rFonts w:cs="Arial"/>
        </w:rPr>
        <w:t>(ii) les facteurs favorisant leur succès, en termes de pratiques, de réseaux</w:t>
      </w:r>
      <w:r>
        <w:rPr>
          <w:rFonts w:cs="Arial"/>
        </w:rPr>
        <w:t xml:space="preserve"> d’acteurs et</w:t>
      </w:r>
      <w:r w:rsidR="00863055">
        <w:rPr>
          <w:rFonts w:cs="Arial"/>
        </w:rPr>
        <w:t xml:space="preserve"> de connaissances</w:t>
      </w:r>
      <w:r w:rsidRPr="0075115C">
        <w:rPr>
          <w:rFonts w:cs="Arial"/>
        </w:rPr>
        <w:t xml:space="preserve">. Par l’analyse de ces </w:t>
      </w:r>
      <w:r w:rsidR="008B5EAF">
        <w:rPr>
          <w:rFonts w:cs="Arial"/>
        </w:rPr>
        <w:t>deux</w:t>
      </w:r>
      <w:r w:rsidRPr="0075115C">
        <w:rPr>
          <w:rFonts w:cs="Arial"/>
        </w:rPr>
        <w:t xml:space="preserve"> éléments, </w:t>
      </w:r>
      <w:r>
        <w:rPr>
          <w:rFonts w:cs="Arial"/>
        </w:rPr>
        <w:t>l’enjeu global</w:t>
      </w:r>
      <w:r w:rsidRPr="0075115C">
        <w:rPr>
          <w:rFonts w:cs="Arial"/>
        </w:rPr>
        <w:t xml:space="preserve"> est d’étudier la manière dont </w:t>
      </w:r>
      <w:r w:rsidR="00625F59">
        <w:rPr>
          <w:rFonts w:cs="Arial"/>
        </w:rPr>
        <w:t>ces éleveurs</w:t>
      </w:r>
      <w:r>
        <w:rPr>
          <w:rFonts w:cs="Arial"/>
        </w:rPr>
        <w:t xml:space="preserve"> </w:t>
      </w:r>
      <w:r w:rsidRPr="0075115C">
        <w:rPr>
          <w:rFonts w:cs="Arial"/>
        </w:rPr>
        <w:t xml:space="preserve">interagissent avec le régime </w:t>
      </w:r>
      <w:r>
        <w:rPr>
          <w:rFonts w:cs="Arial"/>
        </w:rPr>
        <w:t xml:space="preserve">sociotechnique </w:t>
      </w:r>
      <w:r w:rsidRPr="0075115C">
        <w:rPr>
          <w:rFonts w:cs="Arial"/>
        </w:rPr>
        <w:t>dominant</w:t>
      </w:r>
      <w:r>
        <w:rPr>
          <w:rFonts w:cs="Arial"/>
        </w:rPr>
        <w:t xml:space="preserve"> et les mécanismes de verrouillage (</w:t>
      </w:r>
      <w:r w:rsidRPr="00625F59">
        <w:rPr>
          <w:rFonts w:cs="Arial"/>
          <w:i/>
        </w:rPr>
        <w:t>lock-in</w:t>
      </w:r>
      <w:r>
        <w:rPr>
          <w:rFonts w:cs="Arial"/>
        </w:rPr>
        <w:t>) caractérisant ce régime</w:t>
      </w:r>
      <w:r w:rsidRPr="0075115C">
        <w:rPr>
          <w:rFonts w:cs="Arial"/>
        </w:rPr>
        <w:t>.</w:t>
      </w:r>
      <w:r>
        <w:rPr>
          <w:rFonts w:cs="Arial"/>
        </w:rPr>
        <w:t xml:space="preserve"> Nous souhaitons ainsi dépasser</w:t>
      </w:r>
      <w:r w:rsidRPr="0075115C">
        <w:rPr>
          <w:rFonts w:cs="Arial"/>
        </w:rPr>
        <w:t xml:space="preserve"> l’étude des seules motivations des producteurs (</w:t>
      </w:r>
      <w:proofErr w:type="spellStart"/>
      <w:r w:rsidRPr="0075115C">
        <w:rPr>
          <w:rFonts w:cs="Arial"/>
          <w:i/>
        </w:rPr>
        <w:t>why</w:t>
      </w:r>
      <w:proofErr w:type="spellEnd"/>
      <w:r w:rsidRPr="0075115C">
        <w:rPr>
          <w:rFonts w:cs="Arial"/>
        </w:rPr>
        <w:t> ?) et aborder la manière dont ceux-ci s’engagent dans une telle transition (</w:t>
      </w:r>
      <w:r w:rsidRPr="0075115C">
        <w:rPr>
          <w:rFonts w:cs="Arial"/>
          <w:i/>
        </w:rPr>
        <w:t>how</w:t>
      </w:r>
      <w:r w:rsidRPr="0075115C">
        <w:rPr>
          <w:rFonts w:cs="Arial"/>
        </w:rPr>
        <w:t xml:space="preserve"> ?). </w:t>
      </w:r>
      <w:r>
        <w:rPr>
          <w:rFonts w:cs="Arial"/>
        </w:rPr>
        <w:t>Ce</w:t>
      </w:r>
      <w:r w:rsidRPr="0075115C">
        <w:rPr>
          <w:rFonts w:cs="Arial"/>
        </w:rPr>
        <w:t xml:space="preserve"> point s’avère </w:t>
      </w:r>
      <w:r>
        <w:rPr>
          <w:rFonts w:cs="Arial"/>
        </w:rPr>
        <w:t xml:space="preserve">en effet </w:t>
      </w:r>
      <w:r w:rsidRPr="0075115C">
        <w:rPr>
          <w:rFonts w:cs="Arial"/>
        </w:rPr>
        <w:t xml:space="preserve">crucial afin de comprendre les dynamiques sous-jacentes des processus de transition et </w:t>
      </w:r>
      <w:r w:rsidR="0030698F">
        <w:rPr>
          <w:rFonts w:cs="Arial"/>
        </w:rPr>
        <w:t>d’</w:t>
      </w:r>
      <w:r>
        <w:rPr>
          <w:rFonts w:cs="Arial"/>
        </w:rPr>
        <w:t>i</w:t>
      </w:r>
      <w:r w:rsidRPr="0075115C">
        <w:rPr>
          <w:rFonts w:cs="Arial"/>
        </w:rPr>
        <w:t xml:space="preserve">dentifier les ressources dans lesquelles investir pour favoriser ces transitions </w:t>
      </w:r>
      <w:r w:rsidRPr="0075115C">
        <w:rPr>
          <w:rFonts w:cs="Arial"/>
        </w:rPr>
        <w:fldChar w:fldCharType="begin"/>
      </w:r>
      <w:r w:rsidRPr="0075115C">
        <w:rPr>
          <w:rFonts w:cs="Arial"/>
        </w:rPr>
        <w:instrText xml:space="preserve"> ADDIN ZOTERO_ITEM CSL_CITATION {"citationID":"sdl7pat6p","properties":{"formattedCitation":"(Blesh and Wolf, 2014)","plainCitation":"(Blesh and Wolf, 2014)"},"citationItems":[{"id":3244,"uris":["http://zotero.org/users/503973/items/QWCRNGQB"],"uri":["http://zotero.org/users/503973/items/QWCRNGQB"],"itemData":{"id":3244,"type":"manuscript","title":"Transitions to agroecological farming systems in the Mississippi River Basin: toward an integrated socioecological analysis","source":"Scopus","archive":"Scopus","abstract":"Industrial agriculture has extensive environmental and social costs, and efforts to create alternative farming systems are widespread if not yet widely successful. This study explored how a set of grain farmers and rotational graziers in Iowa transitioned to agroecological management practices. Our focus on the resources and strategies that farmers mobilized to develop opportunities for, and overcome barriers to, transitioning to alternative practices allows us to go beyond the existing literature focused on why farmers transition. We attend to both the ecological and socioeconomic context of innovation by comparing processes of technical change in two contrasting regions of Iowa. Farmers cultivated farm-level biodiversity and enterprise diversity, developed new cognitive and psychological competencies, and overcame barriers to innovation by developing external network linkages with peers, knowledge organizations, and federal policies. Our research provides insights into how biophysical, cognitive, structural and market considerations can be integrated into research efforts that aim to make sense of innovation toward sustainable agriculture. © 2014 Springer Science+Business Media Dordrecht.","shortTitle":"Transitions to agroecological farming systems in the Mississippi River Basin","language":"English","author":[{"family":"Blesh","given":"J."},{"family":"Wolf","given":"S.A."}],"issued":{"date-parts":[["2014"]]}}}],"schema":"https://github.com/citation-style-language/schema/raw/master/csl-citation.json"} </w:instrText>
      </w:r>
      <w:r w:rsidRPr="0075115C">
        <w:rPr>
          <w:rFonts w:cs="Arial"/>
        </w:rPr>
        <w:fldChar w:fldCharType="separate"/>
      </w:r>
      <w:r w:rsidRPr="0075115C">
        <w:rPr>
          <w:rFonts w:cs="Arial"/>
        </w:rPr>
        <w:t>(Blesh and Wolf, 2014)</w:t>
      </w:r>
      <w:r w:rsidRPr="0075115C">
        <w:rPr>
          <w:rFonts w:cs="Arial"/>
        </w:rPr>
        <w:fldChar w:fldCharType="end"/>
      </w:r>
      <w:r w:rsidRPr="0075115C">
        <w:rPr>
          <w:rFonts w:cs="Arial"/>
        </w:rPr>
        <w:t>.</w:t>
      </w:r>
    </w:p>
    <w:p w:rsidR="00F72DB3" w:rsidRDefault="00863055" w:rsidP="003241D6">
      <w:pPr>
        <w:jc w:val="both"/>
        <w:rPr>
          <w:rFonts w:cs="Arial"/>
        </w:rPr>
      </w:pPr>
      <w:r>
        <w:rPr>
          <w:rFonts w:cs="Arial"/>
        </w:rPr>
        <w:t xml:space="preserve">Pour ce faire, </w:t>
      </w:r>
      <w:r w:rsidR="002639EC">
        <w:rPr>
          <w:rFonts w:cs="Arial"/>
        </w:rPr>
        <w:t>la question a été abordée à partir</w:t>
      </w:r>
      <w:r w:rsidR="00F72DB3">
        <w:rPr>
          <w:rFonts w:cs="Arial"/>
        </w:rPr>
        <w:t xml:space="preserve"> d’une étude de cas :</w:t>
      </w:r>
      <w:r w:rsidR="00F72DB3" w:rsidRPr="00F72DB3">
        <w:rPr>
          <w:rFonts w:cs="Arial"/>
        </w:rPr>
        <w:t xml:space="preserve"> les circuits de transformation fromagère en Région herbagère liégeoise et en Haute-Ardenne. Deux cas de figure ont été considérés dans notre analyse : (i) la tran</w:t>
      </w:r>
      <w:r w:rsidR="008B5EAF">
        <w:rPr>
          <w:rFonts w:cs="Arial"/>
        </w:rPr>
        <w:t>sformation fromagère à la ferme</w:t>
      </w:r>
      <w:r w:rsidR="00F72DB3" w:rsidRPr="00F72DB3">
        <w:rPr>
          <w:rFonts w:cs="Arial"/>
        </w:rPr>
        <w:t xml:space="preserve"> et (ii) la livraison du lait à une structure de transformation fromagère, sans passer par l’intermédiaire d’une laiterie conventionnelle. Ces deux cas combinent des situations de commercialisation en circuit court et des modes d’écoulement en circuit long, plus étendus au niveau géographique.</w:t>
      </w:r>
    </w:p>
    <w:p w:rsidR="0075115C" w:rsidRPr="0075115C" w:rsidRDefault="0075115C" w:rsidP="0075115C">
      <w:pPr>
        <w:pStyle w:val="Paragraphedeliste"/>
        <w:numPr>
          <w:ilvl w:val="0"/>
          <w:numId w:val="1"/>
        </w:numPr>
        <w:jc w:val="both"/>
        <w:rPr>
          <w:rFonts w:cs="Arial"/>
        </w:rPr>
      </w:pPr>
      <w:r>
        <w:rPr>
          <w:rFonts w:cs="Arial"/>
        </w:rPr>
        <w:lastRenderedPageBreak/>
        <w:t>Cadre</w:t>
      </w:r>
      <w:r w:rsidR="001B4686">
        <w:rPr>
          <w:rFonts w:cs="Arial"/>
        </w:rPr>
        <w:t xml:space="preserve"> théorique</w:t>
      </w:r>
    </w:p>
    <w:p w:rsidR="006854D9" w:rsidRDefault="00625F59" w:rsidP="003241D6">
      <w:pPr>
        <w:jc w:val="both"/>
        <w:rPr>
          <w:rFonts w:cs="Arial"/>
        </w:rPr>
      </w:pPr>
      <w:proofErr w:type="gramStart"/>
      <w:r>
        <w:rPr>
          <w:rFonts w:cs="Arial"/>
        </w:rPr>
        <w:t>La perspective</w:t>
      </w:r>
      <w:proofErr w:type="gramEnd"/>
      <w:r>
        <w:rPr>
          <w:rFonts w:cs="Arial"/>
        </w:rPr>
        <w:t xml:space="preserve"> multiniveau (multi-</w:t>
      </w:r>
      <w:proofErr w:type="spellStart"/>
      <w:r>
        <w:rPr>
          <w:rFonts w:cs="Arial"/>
        </w:rPr>
        <w:t>level</w:t>
      </w:r>
      <w:proofErr w:type="spellEnd"/>
      <w:r>
        <w:rPr>
          <w:rFonts w:cs="Arial"/>
        </w:rPr>
        <w:t xml:space="preserve"> perspective, MLP) représente l’une des théories majeures dans le domaine de l’étude des dynamiques de transition. Celle-ci considère la transition comme étant le résultat d’interactions multidimensionnelles entre : (i) le régime sociotechnique en place, </w:t>
      </w:r>
      <w:r w:rsidR="00F72DB3">
        <w:rPr>
          <w:rFonts w:cs="Arial"/>
        </w:rPr>
        <w:t xml:space="preserve">caractérisé par un ensemble d’éléments techniques et matériels, de réseaux sociaux et de normes, et stabilisé par des mécanismes dits de verrouillage ; (ii) </w:t>
      </w:r>
      <w:r>
        <w:rPr>
          <w:rFonts w:cs="Arial"/>
        </w:rPr>
        <w:t>des niches d’innovations</w:t>
      </w:r>
      <w:r w:rsidR="00F72DB3">
        <w:rPr>
          <w:rFonts w:cs="Arial"/>
        </w:rPr>
        <w:t>, au sein desquelles</w:t>
      </w:r>
      <w:r>
        <w:rPr>
          <w:rFonts w:cs="Arial"/>
        </w:rPr>
        <w:t xml:space="preserve"> </w:t>
      </w:r>
      <w:r w:rsidR="00F72DB3">
        <w:rPr>
          <w:rFonts w:cs="Arial"/>
        </w:rPr>
        <w:t>des nouveautés sont dé</w:t>
      </w:r>
      <w:r w:rsidR="008B5EAF">
        <w:rPr>
          <w:rFonts w:cs="Arial"/>
        </w:rPr>
        <w:t>veloppées</w:t>
      </w:r>
      <w:r w:rsidR="00F72DB3">
        <w:rPr>
          <w:rFonts w:cs="Arial"/>
        </w:rPr>
        <w:t xml:space="preserve"> </w:t>
      </w:r>
      <w:r>
        <w:rPr>
          <w:rFonts w:cs="Arial"/>
        </w:rPr>
        <w:t xml:space="preserve">et </w:t>
      </w:r>
      <w:r w:rsidR="00F72DB3">
        <w:rPr>
          <w:rFonts w:cs="Arial"/>
        </w:rPr>
        <w:t xml:space="preserve">(iii) </w:t>
      </w:r>
      <w:r>
        <w:rPr>
          <w:rFonts w:cs="Arial"/>
        </w:rPr>
        <w:t xml:space="preserve">le paysage </w:t>
      </w:r>
      <w:r w:rsidR="00F72DB3">
        <w:rPr>
          <w:rFonts w:cs="Arial"/>
        </w:rPr>
        <w:t xml:space="preserve">ou contexte </w:t>
      </w:r>
      <w:r>
        <w:rPr>
          <w:rFonts w:cs="Arial"/>
        </w:rPr>
        <w:t>externe</w:t>
      </w:r>
      <w:r w:rsidR="00F72DB3">
        <w:rPr>
          <w:rFonts w:cs="Arial"/>
        </w:rPr>
        <w:t xml:space="preserve"> </w:t>
      </w:r>
      <w:r w:rsidR="00F72DB3">
        <w:rPr>
          <w:rFonts w:cs="Arial"/>
        </w:rPr>
        <w:fldChar w:fldCharType="begin"/>
      </w:r>
      <w:r w:rsidR="00F72DB3">
        <w:rPr>
          <w:rFonts w:cs="Arial"/>
        </w:rPr>
        <w:instrText xml:space="preserve"> ADDIN ZOTERO_ITEM CSL_CITATION {"citationID":"1g3h3o1sb7","properties":{"formattedCitation":"(Verbong and Geels, 2010)","plainCitation":"(Verbong and Geels, 2010)"},"citationItems":[{"id":879,"uris":["http://zotero.org/users/503973/items/GIJM6BVG"],"uri":["http://zotero.org/users/503973/items/GIJM6BVG"],"itemData":{"id":879,"type":"article-journal","title":"Exploring sustainability transitions in the electricity sector with socio-technical pathways","container-title":"Technological Forecasting and Social Change","page":"1214-1221","volume":"77","issue":"8","source":"Scopus","abstract":"This paper analyses sustainability transitions in the electricity system, using recent theories on socio-technical pathways. The paper describes three possible transition pathways and indicates the implications for (grid) infrastructures. The 'transformation pathway' is characterised by a further hybridization of the infrastructure; in the 'reconfiguration pathway', internationalisation and scale increase in renewable generation lead to the emergence of a 'Supergrid'. The 'de-alignment and re-alignment pathway' is dominated by distributed generation and a focus on more local infrastructures. We suggest that this pathway, which involves a major restructuring of the electricity system, is less likely than the other two. The de-alignment and re-alignment pathway is therefore more dependent on external developments and/or strong policy interventions. All pathways, however, require major investments in infrastructure and innovative technologies. © 2010 Elsevier Inc.","DOI":"10.1016/j.techfore.2010.04.008","ISSN":"00401625","language":"English","author":[{"family":"Verbong","given":"G.P.J."},{"family":"Geels","given":"F.W."}],"issued":{"date-parts":[["2010"]]}}}],"schema":"https://github.com/citation-style-language/schema/raw/master/csl-citation.json"} </w:instrText>
      </w:r>
      <w:r w:rsidR="00F72DB3">
        <w:rPr>
          <w:rFonts w:cs="Arial"/>
        </w:rPr>
        <w:fldChar w:fldCharType="separate"/>
      </w:r>
      <w:r w:rsidR="00F72DB3" w:rsidRPr="00F72DB3">
        <w:rPr>
          <w:rFonts w:cs="Arial"/>
        </w:rPr>
        <w:t>(Verbong and Geels, 2010)</w:t>
      </w:r>
      <w:r w:rsidR="00F72DB3">
        <w:rPr>
          <w:rFonts w:cs="Arial"/>
        </w:rPr>
        <w:fldChar w:fldCharType="end"/>
      </w:r>
      <w:r>
        <w:rPr>
          <w:rFonts w:cs="Arial"/>
        </w:rPr>
        <w:t>.</w:t>
      </w:r>
      <w:r w:rsidR="00F72DB3">
        <w:rPr>
          <w:rFonts w:cs="Arial"/>
        </w:rPr>
        <w:t xml:space="preserve"> </w:t>
      </w:r>
      <w:r w:rsidR="0075115C" w:rsidRPr="0075115C">
        <w:rPr>
          <w:rFonts w:cs="Arial"/>
        </w:rPr>
        <w:t xml:space="preserve">Dans un contexte de transition des systèmes agricoles, la MLP a pour limite de ne pas suffisamment considérer l’échelle de l’exploitation agricole, notamment les relations et les pratiques des agriculteurs </w:t>
      </w:r>
      <w:r w:rsidR="0075115C" w:rsidRPr="0075115C">
        <w:rPr>
          <w:rFonts w:cs="Arial"/>
        </w:rPr>
        <w:fldChar w:fldCharType="begin"/>
      </w:r>
      <w:r w:rsidR="0075115C" w:rsidRPr="0075115C">
        <w:rPr>
          <w:rFonts w:cs="Arial"/>
        </w:rPr>
        <w:instrText xml:space="preserve"> ADDIN ZOTERO_ITEM CSL_CITATION {"citationID":"HLSPG85W","properties":{"formattedCitation":"(Duru et al., 2014; Hinrichs, 2014)","plainCitation":"(Duru et al., 2014; Hinrichs, 2014)"},"citationItems":[{"id":2958,"uris":["http://zotero.org/users/503973/items/XBGQGN6T"],"uri":["http://zotero.org/users/503973/items/XBGQGN6T"],"itemData":{"id":2958,"type":"article-journal","title":"A conceptual framework for thinking now (and organising tomorrow) the agroecological transition at the level of the territory","container-title":"Cahiers Agricultures","page":"84-95","volume":"23","issue":"2","source":"Scopus","archive":"Scopus","abstract":"The strong negative impacts of agriculture on the environment, combined with the energy crisis and the slowdown of the productivist model, has led to two forms of regreening of agriculture. One, called ''weak ecological modernisation'' corresponds to the implementation of good agricultural practices that improve input efficiency. The other, called ''strong ecological modernisation'' is based on ecosystem services provided by biodiversity. It corresponds to a paradigm shift due to the complexity in designing and implementing it. Strong ecologisation of agriculture requires to deeply revise farming systems, resource management at the territorial/landscape level, and the agrifood chain. After reviewing the principles underpinning this type of agriculture, we analyse the strengths and weaknesses of three conceptual frameworks (farming systems, socio-ecological systems and sociotechnical systems) with respect to this goal. We then propose an interdisciplinary multilevel conceptual framework integrating and articulating the three previous ones. It describes the nature of the system affected by this agroecological transition. This framework formalizes a system of actors whose behaviour is determined by formal and informal norms and agreements, interacting via technology, with farms, landscape and agrifood chain resources. This conceptual framework is intended to be used to analyse current agricultural systems at the territorial level and design strongly ecologised agricultural systems or ''territorialized agroecological systems.'' In the following, we analyse the conditions for the implementation of the strong ecologisation of agriculture. We emphasize in particular the diversity of innovations to promote, the diversity of actors to coordinate, and therefore the need to implement a participatory, holistic, transdisciplinary and ''localized'' (so called ''territorialized'') design approach of the features of agroecological transition.","DOI":"10.1684/agr.2014.0691","ISSN":"1777-5949","shortTitle":"Un cadre conceptuel pour penser maintenant (et organiser demain) la transition agroécologique de l'agriculture dans les territoires","language":"French","author":[{"family":"Duru","given":"M."},{"family":"Faresa","given":"M."},{"family":"Theronda","given":"O."}],"issued":{"date-parts":[["2014"]]}}},{"id":1618,"uris":["http://zotero.org/users/503973/items/R7VIXMBE"],"uri":["http://zotero.org/users/503973/items/R7VIXMBE"],"itemData":{"id":1618,"type":"manuscript","title":"Transitions to sustainability: a change in thinking about food systems change?","number-of-pages":"1","source":"Scopus","abstract":"In the present context of intertwined and intensifying economic, environmental and climate challenges and crisis, we need to enlarge our thinking about food systems change. One way to do so is by considering intersections between our longstanding interdisciplinary interest in food and agriculture and new scholarship and practice centered on transitions to sustainability. The general idea of transition references change in a wide range of fields and contexts, and has gained prominence most recently as a way to discuss and address sustainability challenges. To explore connections to food systems change, I highlight two broad approaches in the sustainability transitions research field. First is a multi-level perspective that examines sustainability innovation pathways and second is a social practices approach that illuminates the possibilities (or not) for shifts in normal everyday routines and practices. Taken together, these approaches offer different and useful ways to think about the dynamics, durability and significance of innovations in food and agriculture, and the part they play in transitions to sustainability. Numerous opportunities exist to forge more productive links between work on food systems change and the broad and growing sustainability transitions field. First, our research and practice insights about the importance of politics, governance, values and ethics in food and agriculture could help to strengthen the sustainability transitions field, which initially underplayed such questions. Second, the sustainability transitions field's implicit systems sensibility and its futures orientation could help to widen the scope of inquiry and the contribution to policy and planning of research and practice on food systems change. © 2014 Springer Science+Business Media Dordrecht.","shortTitle":"Transitions to sustainability","language":"English","author":[{"family":"Hinrichs","given":"C.C."}],"issued":{"date-parts":[["2014"]]}}}],"schema":"https://github.com/citation-style-language/schema/raw/master/csl-citation.json"} </w:instrText>
      </w:r>
      <w:r w:rsidR="0075115C" w:rsidRPr="0075115C">
        <w:rPr>
          <w:rFonts w:cs="Arial"/>
        </w:rPr>
        <w:fldChar w:fldCharType="separate"/>
      </w:r>
      <w:r w:rsidR="0075115C" w:rsidRPr="0075115C">
        <w:rPr>
          <w:rFonts w:cs="Arial"/>
        </w:rPr>
        <w:t>(Duru et al., 2014; Hinrichs, 2014)</w:t>
      </w:r>
      <w:r w:rsidR="0075115C" w:rsidRPr="0075115C">
        <w:rPr>
          <w:rFonts w:cs="Arial"/>
        </w:rPr>
        <w:fldChar w:fldCharType="end"/>
      </w:r>
      <w:r w:rsidR="0075115C" w:rsidRPr="0075115C">
        <w:rPr>
          <w:rFonts w:cs="Arial"/>
        </w:rPr>
        <w:t xml:space="preserve">. Etant donné le rôle prépondérant joué par l’agriculteur dans le développement de pratiques innovantes </w:t>
      </w:r>
      <w:r w:rsidR="0075115C" w:rsidRPr="0075115C">
        <w:rPr>
          <w:rFonts w:cs="Arial"/>
        </w:rPr>
        <w:fldChar w:fldCharType="begin"/>
      </w:r>
      <w:r w:rsidR="0075115C" w:rsidRPr="0075115C">
        <w:rPr>
          <w:rFonts w:cs="Arial"/>
        </w:rPr>
        <w:instrText xml:space="preserve"> ADDIN ZOTERO_ITEM CSL_CITATION {"citationID":"c6vofv4gk","properties":{"formattedCitation":"(Seyfang and Longhurst, 2013)","plainCitation":"(Seyfang and Longhurst, 2013)"},"citationItems":[{"id":1189,"uris":["http://zotero.org/groups/52814/items/BS25MRS2"],"uri":["http://zotero.org/groups/52814/items/BS25MRS2"],"itemData":{"id":1189,"type":"article-journal","title":"Desperately seeking niches: Grassroots innovations and niche development in the community currency field","container-title":"Global Environmental Change","page":"881-891","volume":"23","issue":"5","source":"Scopus","abstract":"The sustainability transitions literature seeks to explain the conditions under which technological innovations can diffuse and disrupt existing socio-technical systems through the successful scaling up of experimental 'niches'; but recent research on 'grassroots innovations' argues that civil society is a promising but under-researched site of innovation for sustainability, albeit one with very different characteristics to the market-based innovation normally considered in the literature. This paper aims to address that research gap by exploring the relevance of niche development theories in a civil society context. To do this, we examine a growing grassroots innovation - the international field of community currencies - which comprises a range of new socio-technical configurations of systems of exchange which have emerged from civil society over the last 30 years, intended to provide more environmentally and socially sustainable forms of money and finance. We draw on new empirical research from an international study of these initiatives comprising primary and secondary data and documentary sources, elite interviews and participant observation in the field. We describe the global diffusion of community currencies, and then conduct a niche analysis to evaluate the utility of niche theories for explaining the development of the community currency movement. We find that some niche-building processes identified in the existing literature are relevant in a grassroots context: the importance of building networks, managing expectations and the significance of external 'landscape' pressures, particularly at the level of national-type. However, our findings suggest that existing theories do not fully capture the complexity of this type of innovation: we find a diverse field addressing a range of societal systems (money, welfare, education, health, consumerism), and showing increasing fragmentation (as opposed to consolidation and standardisation); furthermore, there is little evidence of formalised learning taking place but this has not hampered movement growth. We conclude that grassroots innovations develop and diffuse in quite different ways to conventional innovations, and that niche theories require adaptation to the civil society context. © 2013 Elsevier Ltd.","DOI":"10.1016/j.gloenvcha.2013.02.007","ISSN":"09593780","shortTitle":"Desperately seeking niches","language":"English","author":[{"family":"Seyfang","given":"G."},{"family":"Longhurst","given":"N."}],"issued":{"date-parts":[["2013"]]}}}],"schema":"https://github.com/citation-style-language/schema/raw/master/csl-citation.json"} </w:instrText>
      </w:r>
      <w:r w:rsidR="0075115C" w:rsidRPr="0075115C">
        <w:rPr>
          <w:rFonts w:cs="Arial"/>
        </w:rPr>
        <w:fldChar w:fldCharType="separate"/>
      </w:r>
      <w:r w:rsidR="0075115C" w:rsidRPr="0075115C">
        <w:rPr>
          <w:rFonts w:cs="Arial"/>
        </w:rPr>
        <w:t>(Seyfang and Longhurst, 2013)</w:t>
      </w:r>
      <w:r w:rsidR="0075115C" w:rsidRPr="0075115C">
        <w:rPr>
          <w:rFonts w:cs="Arial"/>
        </w:rPr>
        <w:fldChar w:fldCharType="end"/>
      </w:r>
      <w:r w:rsidR="0075115C" w:rsidRPr="0075115C">
        <w:rPr>
          <w:rFonts w:cs="Arial"/>
        </w:rPr>
        <w:t>, il semble crucial de combler cette lacune afin d’explorer davantage le niveau de la niche.</w:t>
      </w:r>
    </w:p>
    <w:p w:rsidR="00F72DB3" w:rsidRPr="00F72DB3" w:rsidRDefault="0075115C" w:rsidP="00F72DB3">
      <w:pPr>
        <w:jc w:val="both"/>
        <w:rPr>
          <w:rFonts w:cs="Arial"/>
        </w:rPr>
      </w:pPr>
      <w:r w:rsidRPr="0075115C">
        <w:rPr>
          <w:rFonts w:cs="Arial"/>
        </w:rPr>
        <w:t xml:space="preserve">Dans </w:t>
      </w:r>
      <w:r w:rsidR="006854D9">
        <w:rPr>
          <w:rFonts w:cs="Arial"/>
        </w:rPr>
        <w:t>ce contexte</w:t>
      </w:r>
      <w:r w:rsidRPr="0075115C">
        <w:rPr>
          <w:rFonts w:cs="Arial"/>
        </w:rPr>
        <w:t xml:space="preserve">, nous </w:t>
      </w:r>
      <w:r w:rsidR="006854D9">
        <w:rPr>
          <w:rFonts w:cs="Arial"/>
        </w:rPr>
        <w:t>avons utilisé</w:t>
      </w:r>
      <w:r w:rsidRPr="0075115C">
        <w:rPr>
          <w:rFonts w:cs="Arial"/>
        </w:rPr>
        <w:t xml:space="preserve"> un cadre de travail associant la MLP à l’analyse des trajectoires individuelles d’exploitation.</w:t>
      </w:r>
      <w:r w:rsidR="006854D9">
        <w:rPr>
          <w:rFonts w:cs="Arial"/>
        </w:rPr>
        <w:t xml:space="preserve"> </w:t>
      </w:r>
      <w:r w:rsidR="00F72DB3" w:rsidRPr="00F72DB3">
        <w:rPr>
          <w:rFonts w:cs="Arial"/>
        </w:rPr>
        <w:t xml:space="preserve">Cette </w:t>
      </w:r>
      <w:r w:rsidR="00F72DB3">
        <w:rPr>
          <w:rFonts w:cs="Arial"/>
        </w:rPr>
        <w:t>seconde approche</w:t>
      </w:r>
      <w:r w:rsidR="00F72DB3" w:rsidRPr="00F72DB3">
        <w:rPr>
          <w:rFonts w:cs="Arial"/>
        </w:rPr>
        <w:t xml:space="preserve"> consiste à étudier, à partir de données collectées dans le cadre d’enquêtes, les évènements et les changements ayant eu lieu au cours du temps dans différentes exploitations </w:t>
      </w:r>
      <w:r w:rsidR="00F72DB3" w:rsidRPr="00F72DB3">
        <w:rPr>
          <w:rFonts w:cs="Arial"/>
        </w:rPr>
        <w:fldChar w:fldCharType="begin"/>
      </w:r>
      <w:r w:rsidR="00F72DB3" w:rsidRPr="00F72DB3">
        <w:rPr>
          <w:rFonts w:cs="Arial"/>
        </w:rPr>
        <w:instrText xml:space="preserve"> ADDIN ZOTERO_ITEM CSL_CITATION {"citationID":"2b412q2fac","properties":{"formattedCitation":"(Bidaud, 2013; Lamine, 2011)","plainCitation":"(Bidaud, 2013; Lamine, 2011)"},"citationItems":[{"id":1112,"uris":["http://zotero.org/users/503973/items/S5DZJWJE"],"uri":["http://zotero.org/users/503973/items/S5DZJWJE"],"itemData":{"id":1112,"type":"article","title":"Transitions vers la double performance : quelques approches sociologiques de la diffusion des pratiques agroécologiques.","publisher":"Centre d'études et de prospective n°63. Ministère de l'Agriculture, de l'Agroalimentaire et de la Forêt.","author":[{"family":"Bidaud","given":"F."}],"issued":{"date-parts":[["2013",9]]}}},{"id":869,"uris":["http://zotero.org/users/503973/items/D99Q5P6P"],"uri":["http://zotero.org/users/503973/items/D99Q5P6P"],"itemData":{"id":869,"type":"article-journal","title":"Transition pathways towards a robust ecologization of agriculture and the need for system redesign. Cases from organic farming and IPM","container-title":"Journal of Rural Studies","page":"209-219","volume":"27","issue":"2","source":"Scopus","abstract":"The growing criticism of intensive agricultural practices that lead to a deterioration of natural resources and a decrease of biodiversity has progressively led to more environmental constraints being put on agricultural activities through an \"ecologization\" of agricultural policies. The aims of these policies have been to protect environmentally sensitive areas, to improve groundwater quality and, more recently, to develop organic farming and/or reduce pesticide use. However, these efforts are still a far cry from a robust ecologization of agricultural practices. In order to identify the conditions for the implementation of such an ecologization, the changes in practices from conventional agriculture towards organic farming and integrated pest management (IPM) are investigated using a sociological study of farmers' trajectories, coupled with the ESR (Efficiency-Substitution-Redesign) framework developed by biological and agricultural scientists. This combined approach reveals that a robust ecologization of agricultural practices requires us to take into account the specific and variable tempo of farmers' trajectories and to redesign not only technical agricultural systems but also interactions within larger agrifood systems. © 2011 Elsevier Ltd.","DOI":"10.1016/j.jrurstud.2011.02.001","ISSN":"07430167","language":"English","author":[{"family":"Lamine","given":"C."}],"issued":{"date-parts":[["2011"]]}}}],"schema":"https://github.com/citation-style-language/schema/raw/master/csl-citation.json"} </w:instrText>
      </w:r>
      <w:r w:rsidR="00F72DB3" w:rsidRPr="00F72DB3">
        <w:rPr>
          <w:rFonts w:cs="Arial"/>
        </w:rPr>
        <w:fldChar w:fldCharType="separate"/>
      </w:r>
      <w:r w:rsidR="00F72DB3" w:rsidRPr="00F72DB3">
        <w:rPr>
          <w:rFonts w:cs="Arial"/>
        </w:rPr>
        <w:t>(Lamine, 2011; Bidaud, 2013)</w:t>
      </w:r>
      <w:r w:rsidR="00F72DB3" w:rsidRPr="00F72DB3">
        <w:rPr>
          <w:rFonts w:cs="Arial"/>
        </w:rPr>
        <w:fldChar w:fldCharType="end"/>
      </w:r>
      <w:r w:rsidR="00F72DB3" w:rsidRPr="00F72DB3">
        <w:rPr>
          <w:rFonts w:cs="Arial"/>
        </w:rPr>
        <w:t xml:space="preserve">. Il s’agit d’identifier non seulement les changements de pratiques et de conceptions s’étant opérés dans l’exploitation, mais également les changements concernant les processus d’apprentissage, les relations développées par l’agriculteur avec d’autres acteurs et son insertion dans des réseaux sociaux </w:t>
      </w:r>
      <w:r w:rsidR="00F72DB3" w:rsidRPr="00F72DB3">
        <w:rPr>
          <w:rFonts w:cs="Arial"/>
        </w:rPr>
        <w:fldChar w:fldCharType="begin"/>
      </w:r>
      <w:r w:rsidR="00F72DB3" w:rsidRPr="00F72DB3">
        <w:rPr>
          <w:rFonts w:cs="Arial"/>
        </w:rPr>
        <w:instrText xml:space="preserve"> ADDIN ZOTERO_ITEM CSL_CITATION {"citationID":"abh18k6rr","properties":{"formattedCitation":"(Lamine, 2011; Lamine and Bellon, 2009)","plainCitation":"(Lamine, 2011; Lamine and Bellon, 2009)"},"citationItems":[{"id":264,"uris":["http://zotero.org/users/503973/items/GPWB7S88"],"uri":["http://zotero.org/users/503973/items/GPWB7S88"],"itemData":{"id":264,"type":"article-journal","title":"Conversion to organic farming: A multidimensional research object at the crossroads of agricultural and social sciences. A review","container-title":"Agronomy for Sustainable Development","page":"97-112","volume":"29","issue":"1","source":"Scopus","abstract":"Literature on the conversion from intensive to organic farming is scarce. However, both the conversion of farmers to organic farming and of consumers to organic food are the driving forces for the development of the organic sector. In this review, we combine agricultural and social scientists' viewpoints for a critical appraisal of literature on conversion to organic food and farming. First, a brief historical retrospective enables us to refer the scientific production to the institutional and economic context over the past decades. Secondly, we review the methods used to analyse conversion in agricultural and social sciences, and show that emphasis is most often laid upon the effects of conversion and the motivations to convert, on the basis of comparative approaches with so-called conventional agriculture. Therefore, the literature minimises the importance of transitional aspects and trajectories, and rarely approaches conversion as a longer process than its legal duration and from a wider point of view. Thirdly, we examine the paradigms of input efficiency and system redesign, which frame discussions about transitions in agriculture, beyond organics, and therefore helps shed light on sustainability issues. We suggest that analysing conversion and more generally transitions in agriculture as multidimensional issues, involving both production and social practices, entails interdisciplinary approaches and the redefinition of some central research topics. © 2008 INRA EDP Sciences.","shortTitle":"Conversion to organic farming","author":[{"family":"Lamine","given":"C."},{"family":"Bellon","given":"S."}],"issued":{"date-parts":[["2009"]]}}},{"id":869,"uris":["http://zotero.org/users/503973/items/D99Q5P6P"],"uri":["http://zotero.org/users/503973/items/D99Q5P6P"],"itemData":{"id":869,"type":"article-journal","title":"Transition pathways towards a robust ecologization of agriculture and the need for system redesign. Cases from organic farming and IPM","container-title":"Journal of Rural Studies","page":"209-219","volume":"27","issue":"2","source":"Scopus","abstract":"The growing criticism of intensive agricultural practices that lead to a deterioration of natural resources and a decrease of biodiversity has progressively led to more environmental constraints being put on agricultural activities through an \"ecologization\" of agricultural policies. The aims of these policies have been to protect environmentally sensitive areas, to improve groundwater quality and, more recently, to develop organic farming and/or reduce pesticide use. However, these efforts are still a far cry from a robust ecologization of agricultural practices. In order to identify the conditions for the implementation of such an ecologization, the changes in practices from conventional agriculture towards organic farming and integrated pest management (IPM) are investigated using a sociological study of farmers' trajectories, coupled with the ESR (Efficiency-Substitution-Redesign) framework developed by biological and agricultural scientists. This combined approach reveals that a robust ecologization of agricultural practices requires us to take into account the specific and variable tempo of farmers' trajectories and to redesign not only technical agricultural systems but also interactions within larger agrifood systems. © 2011 Elsevier Ltd.","DOI":"10.1016/j.jrurstud.2011.02.001","ISSN":"07430167","language":"English","author":[{"family":"Lamine","given":"C."}],"issued":{"date-parts":[["2011"]]}}}],"schema":"https://github.com/citation-style-language/schema/raw/master/csl-citation.json"} </w:instrText>
      </w:r>
      <w:r w:rsidR="00F72DB3" w:rsidRPr="00F72DB3">
        <w:rPr>
          <w:rFonts w:cs="Arial"/>
        </w:rPr>
        <w:fldChar w:fldCharType="separate"/>
      </w:r>
      <w:r w:rsidR="00F72DB3" w:rsidRPr="00F72DB3">
        <w:rPr>
          <w:rFonts w:cs="Arial"/>
        </w:rPr>
        <w:t>(Lamine and Bellon, 2009; Lamine, 2011)</w:t>
      </w:r>
      <w:r w:rsidR="00F72DB3" w:rsidRPr="00F72DB3">
        <w:rPr>
          <w:rFonts w:cs="Arial"/>
        </w:rPr>
        <w:fldChar w:fldCharType="end"/>
      </w:r>
      <w:r w:rsidR="006854D9">
        <w:rPr>
          <w:rFonts w:cs="Arial"/>
        </w:rPr>
        <w:t>.</w:t>
      </w:r>
    </w:p>
    <w:p w:rsidR="00F72DB3" w:rsidRDefault="00F72DB3" w:rsidP="00F72DB3">
      <w:pPr>
        <w:pStyle w:val="Paragraphedeliste"/>
        <w:numPr>
          <w:ilvl w:val="0"/>
          <w:numId w:val="1"/>
        </w:numPr>
        <w:jc w:val="both"/>
        <w:rPr>
          <w:rFonts w:cs="Arial"/>
        </w:rPr>
      </w:pPr>
      <w:r>
        <w:rPr>
          <w:rFonts w:cs="Arial"/>
        </w:rPr>
        <w:t>Méthodologie</w:t>
      </w:r>
    </w:p>
    <w:p w:rsidR="00EC17C4" w:rsidRDefault="00F72DB3" w:rsidP="00F72DB3">
      <w:pPr>
        <w:jc w:val="both"/>
      </w:pPr>
      <w:r>
        <w:rPr>
          <w:rFonts w:cs="Arial"/>
        </w:rPr>
        <w:t>Notre étude a été réalisée à partir d’une approche qualitative consistant en une enquête par entretiens semi-dirigés auprès d’éleveurs laitiers engagés dans les circuits de transformation fromagère sélectionnés</w:t>
      </w:r>
      <w:r w:rsidR="00EC17C4">
        <w:rPr>
          <w:rFonts w:cs="Arial"/>
        </w:rPr>
        <w:t xml:space="preserve"> ou ayant arrêté cette activité</w:t>
      </w:r>
      <w:r>
        <w:rPr>
          <w:rFonts w:cs="Arial"/>
        </w:rPr>
        <w:t>.</w:t>
      </w:r>
      <w:r w:rsidR="00EC17C4">
        <w:rPr>
          <w:rFonts w:cs="Arial"/>
        </w:rPr>
        <w:t xml:space="preserve"> </w:t>
      </w:r>
      <w:r w:rsidR="00EC17C4">
        <w:t xml:space="preserve">Au total, cinq éleveurs réalisant la transformation à la ferme et dix éleveurs livrant leur lait à une fromagerie ont été interviewés durant les mois de novembre et de décembre 2013. Les éleveurs transformateurs interrogés transformaient une partie – de 15 à 80 %, selon les cas – de leur production laitière, tandis que l’autre était écoulée en laiterie traditionnelle. Parmi les éleveurs livreurs, neuf sur dix étaient des producteurs biologiques livrant la totalité de leur lait à la fromagerie, tandis que le dernier était un producteur conventionnel livrant 15 % de sa production. La phase d’entretiens a été arrêtée lorsque ceux-ci n’apportaient plus d’informations nouvelles (processus de saturation) </w:t>
      </w:r>
      <w:r w:rsidR="00EC17C4">
        <w:fldChar w:fldCharType="begin"/>
      </w:r>
      <w:r w:rsidR="00EC17C4">
        <w:instrText xml:space="preserve"> ADDIN ZOTERO_ITEM CSL_CITATION {"citationID":"PZIHqCf1","properties":{"formattedCitation":"(Comeau, 1994)","plainCitation":"(Comeau, 1994)"},"citationItems":[{"id":1043,"uris":["http://zotero.org/users/503973/items/AZJ9PJPX"],"uri":["http://zotero.org/users/503973/items/AZJ9PJPX"],"itemData":{"id":1043,"type":"article","title":"L'analyse des données qualitatives.","publisher":"Cahiers du CRISES. Collection Etudes théoriques. Département de counseling et orientation. Université Laval.","URL":"https://depot.erudit.org/bitstream/001759dd/1/ET9402.pdf","author":[{"family":"Comeau","given":"Yvan"}],"issued":{"date-parts":[["1994"]]},"accessed":{"date-parts":[["2013",9,12]]}}}],"schema":"https://github.com/citation-style-language/schema/raw/master/csl-citation.json"} </w:instrText>
      </w:r>
      <w:r w:rsidR="00EC17C4">
        <w:fldChar w:fldCharType="separate"/>
      </w:r>
      <w:r w:rsidR="00EC17C4" w:rsidRPr="00934864">
        <w:rPr>
          <w:rFonts w:cs="Calibri"/>
        </w:rPr>
        <w:t>(Comeau, 1994)</w:t>
      </w:r>
      <w:r w:rsidR="00EC17C4">
        <w:fldChar w:fldCharType="end"/>
      </w:r>
      <w:r w:rsidR="00EC17C4">
        <w:t>.</w:t>
      </w:r>
    </w:p>
    <w:p w:rsidR="00EC17C4" w:rsidRDefault="00EC17C4" w:rsidP="00F72DB3">
      <w:pPr>
        <w:jc w:val="both"/>
      </w:pPr>
      <w:r w:rsidRPr="00EC17C4">
        <w:t xml:space="preserve">Tous les entretiens ont été enregistrés et retranscrits intégralement. </w:t>
      </w:r>
      <w:r>
        <w:t>C</w:t>
      </w:r>
      <w:r w:rsidRPr="00EC17C4">
        <w:t>es données</w:t>
      </w:r>
      <w:r>
        <w:t xml:space="preserve"> qualitatives ont ensuite été traitées avec le logiciel </w:t>
      </w:r>
      <w:r w:rsidRPr="00EC17C4">
        <w:rPr>
          <w:i/>
        </w:rPr>
        <w:t xml:space="preserve">R qualitative data </w:t>
      </w:r>
      <w:proofErr w:type="spellStart"/>
      <w:r w:rsidRPr="00EC17C4">
        <w:rPr>
          <w:i/>
        </w:rPr>
        <w:t>analysis</w:t>
      </w:r>
      <w:proofErr w:type="spellEnd"/>
      <w:r w:rsidRPr="00EC17C4">
        <w:t xml:space="preserve"> </w:t>
      </w:r>
      <w:r w:rsidRPr="00EC17C4">
        <w:rPr>
          <w:lang w:val="en-GB"/>
        </w:rPr>
        <w:fldChar w:fldCharType="begin"/>
      </w:r>
      <w:r w:rsidRPr="00EC17C4">
        <w:instrText xml:space="preserve"> ADDIN ZOTERO_ITEM CSL_CITATION {"citationID":"1aou3cjgm0","properties":{"formattedCitation":"(Huang, 2011)","plainCitation":"(Huang, 2011)"},"citationItems":[{"id":742,"uris":["http://zotero.org/users/503973/items/MACZQ4UF"],"uri":["http://zotero.org/users/503973/items/MACZQ4UF"],"itemData":{"id":742,"type":"webpage","title":"RQDA: R-based Qualitative Data Analysis. R package version 0.2-2.","URL":"http://rqda.r-forge.r-project.org/","author":[{"family":"Huang","given":"Ronggui"}],"issued":{"date-parts":[["2011"]]},"accessed":{"date-parts":[["2012",9,3]]}}}],"schema":"https://github.com/citation-style-language/schema/raw/master/csl-citation.json"} </w:instrText>
      </w:r>
      <w:r w:rsidRPr="00EC17C4">
        <w:rPr>
          <w:lang w:val="en-GB"/>
        </w:rPr>
        <w:fldChar w:fldCharType="separate"/>
      </w:r>
      <w:r w:rsidRPr="00EC17C4">
        <w:t>(Huang, 2011)</w:t>
      </w:r>
      <w:r w:rsidRPr="00EC17C4">
        <w:fldChar w:fldCharType="end"/>
      </w:r>
      <w:r w:rsidRPr="00EC17C4">
        <w:t xml:space="preserve"> </w:t>
      </w:r>
      <w:r>
        <w:t>afin d’identifier : (i) les éléments ayant poussé l’agriculteur à explorer une voie al</w:t>
      </w:r>
      <w:r w:rsidR="008B5EAF">
        <w:t>ternative de commercialisation</w:t>
      </w:r>
      <w:r>
        <w:t xml:space="preserve"> </w:t>
      </w:r>
      <w:r w:rsidR="006854D9">
        <w:t xml:space="preserve">et </w:t>
      </w:r>
      <w:r>
        <w:t>(ii) les facteurs expliquant le succès de ces initiatives et ceux ayant freiné l’engagemen</w:t>
      </w:r>
      <w:r w:rsidR="006854D9">
        <w:t>t de l’éleveur dans cette voie</w:t>
      </w:r>
      <w:r>
        <w:t>.</w:t>
      </w:r>
    </w:p>
    <w:p w:rsidR="00F062F7" w:rsidRDefault="00CB6A3A" w:rsidP="00F062F7">
      <w:pPr>
        <w:pStyle w:val="Paragraphedeliste"/>
        <w:numPr>
          <w:ilvl w:val="0"/>
          <w:numId w:val="1"/>
        </w:numPr>
        <w:jc w:val="both"/>
      </w:pPr>
      <w:r>
        <w:t>Résultats</w:t>
      </w:r>
    </w:p>
    <w:p w:rsidR="00F062F7" w:rsidRPr="001B4686" w:rsidRDefault="001B4686" w:rsidP="001B4686">
      <w:pPr>
        <w:ind w:firstLine="708"/>
        <w:jc w:val="both"/>
        <w:rPr>
          <w:i/>
        </w:rPr>
      </w:pPr>
      <w:proofErr w:type="gramStart"/>
      <w:r w:rsidRPr="001B4686">
        <w:rPr>
          <w:i/>
        </w:rPr>
        <w:t>4.a</w:t>
      </w:r>
      <w:proofErr w:type="gramEnd"/>
      <w:r w:rsidRPr="001B4686">
        <w:rPr>
          <w:i/>
        </w:rPr>
        <w:t>. Éléments déclencheurs</w:t>
      </w:r>
    </w:p>
    <w:p w:rsidR="001B4686" w:rsidRPr="001B4686" w:rsidRDefault="001B4686" w:rsidP="001B4686">
      <w:pPr>
        <w:jc w:val="both"/>
      </w:pPr>
      <w:r>
        <w:t xml:space="preserve">Différents éléments </w:t>
      </w:r>
      <w:r w:rsidRPr="001B4686">
        <w:t>pouss</w:t>
      </w:r>
      <w:r>
        <w:t>ent</w:t>
      </w:r>
      <w:r w:rsidRPr="001B4686">
        <w:t xml:space="preserve"> les éleveurs interviewés à définir d’autres modes de commercialisation que l’unique livraison du lait à une laiterie traditionnelle</w:t>
      </w:r>
      <w:r>
        <w:t xml:space="preserve"> (Tableau 1)</w:t>
      </w:r>
      <w:r w:rsidRPr="001B4686">
        <w:t xml:space="preserve">. Ces </w:t>
      </w:r>
      <w:r w:rsidRPr="001B4686">
        <w:lastRenderedPageBreak/>
        <w:t xml:space="preserve">éléments déclencheurs concernent : (i) des aspects économiques liés au prix du lait ; (ii) des aspects relationnels vis-à-vis de la laiterie et de l’aval de la filière ; (iii) des opportunités liées au contexte dans </w:t>
      </w:r>
      <w:r w:rsidR="008B5EAF">
        <w:t>lequel se situe l’exploitation</w:t>
      </w:r>
      <w:r w:rsidRPr="001B4686">
        <w:t xml:space="preserve"> et (iv) des opportunités relatives à la structure de l’exploitation. </w:t>
      </w:r>
      <w:r>
        <w:t>En analogie avec la MLP, ces éléments déclencheurs ont trait tant au paysage qu’au régime sociotechnique et aux niches</w:t>
      </w:r>
      <w:r w:rsidR="001263C4">
        <w:t xml:space="preserve"> d’innovations</w:t>
      </w:r>
      <w:r>
        <w:t xml:space="preserve"> (Tableau 1).</w:t>
      </w:r>
    </w:p>
    <w:p w:rsidR="001B4686" w:rsidRPr="006854D9" w:rsidRDefault="001B4686" w:rsidP="006854D9">
      <w:pPr>
        <w:spacing w:after="120"/>
        <w:jc w:val="both"/>
        <w:rPr>
          <w:bCs/>
          <w:sz w:val="20"/>
        </w:rPr>
      </w:pPr>
      <w:bookmarkStart w:id="0" w:name="_Ref391891990"/>
      <w:bookmarkStart w:id="1" w:name="_Toc404263096"/>
      <w:r w:rsidRPr="006854D9">
        <w:rPr>
          <w:bCs/>
          <w:sz w:val="20"/>
        </w:rPr>
        <w:t xml:space="preserve">Tableau </w:t>
      </w:r>
      <w:bookmarkEnd w:id="0"/>
      <w:r w:rsidRPr="006854D9">
        <w:rPr>
          <w:bCs/>
          <w:sz w:val="20"/>
        </w:rPr>
        <w:t>1 Eléments déclencheurs d'une voie de commercialisation alternative des produits laitiers.</w:t>
      </w:r>
      <w:bookmarkEnd w:id="1"/>
    </w:p>
    <w:tbl>
      <w:tblPr>
        <w:tblW w:w="9184" w:type="dxa"/>
        <w:tblLook w:val="04A0" w:firstRow="1" w:lastRow="0" w:firstColumn="1" w:lastColumn="0" w:noHBand="0" w:noVBand="1"/>
      </w:tblPr>
      <w:tblGrid>
        <w:gridCol w:w="4195"/>
        <w:gridCol w:w="4989"/>
      </w:tblGrid>
      <w:tr w:rsidR="001B4686" w:rsidRPr="001B4686" w:rsidTr="001B4686">
        <w:trPr>
          <w:trHeight w:val="283"/>
        </w:trPr>
        <w:tc>
          <w:tcPr>
            <w:tcW w:w="4195" w:type="dxa"/>
            <w:tcBorders>
              <w:top w:val="single" w:sz="4" w:space="0" w:color="auto"/>
              <w:bottom w:val="single" w:sz="4" w:space="0" w:color="auto"/>
            </w:tcBorders>
            <w:shd w:val="clear" w:color="auto" w:fill="auto"/>
            <w:noWrap/>
            <w:vAlign w:val="center"/>
            <w:hideMark/>
          </w:tcPr>
          <w:p w:rsidR="001B4686" w:rsidRPr="001B4686" w:rsidRDefault="001B4686" w:rsidP="001B4686">
            <w:pPr>
              <w:spacing w:after="0"/>
              <w:jc w:val="both"/>
              <w:rPr>
                <w:b/>
                <w:sz w:val="20"/>
              </w:rPr>
            </w:pPr>
            <w:r w:rsidRPr="001B4686">
              <w:rPr>
                <w:b/>
                <w:sz w:val="20"/>
              </w:rPr>
              <w:t>Eléments déclencheurs</w:t>
            </w:r>
          </w:p>
        </w:tc>
        <w:tc>
          <w:tcPr>
            <w:tcW w:w="4989" w:type="dxa"/>
            <w:tcBorders>
              <w:top w:val="single" w:sz="4" w:space="0" w:color="auto"/>
              <w:bottom w:val="single" w:sz="4" w:space="0" w:color="auto"/>
            </w:tcBorders>
            <w:shd w:val="clear" w:color="auto" w:fill="auto"/>
            <w:noWrap/>
            <w:vAlign w:val="center"/>
            <w:hideMark/>
          </w:tcPr>
          <w:p w:rsidR="001B4686" w:rsidRPr="001B4686" w:rsidRDefault="001B4686" w:rsidP="001B4686">
            <w:pPr>
              <w:spacing w:after="0"/>
              <w:jc w:val="both"/>
              <w:rPr>
                <w:b/>
                <w:sz w:val="20"/>
              </w:rPr>
            </w:pPr>
            <w:r w:rsidRPr="001B4686">
              <w:rPr>
                <w:b/>
                <w:sz w:val="20"/>
              </w:rPr>
              <w:t>Lien avec la MLP</w:t>
            </w:r>
          </w:p>
        </w:tc>
      </w:tr>
      <w:tr w:rsidR="001B4686" w:rsidRPr="001B4686" w:rsidTr="001B4686">
        <w:trPr>
          <w:trHeight w:val="283"/>
        </w:trPr>
        <w:tc>
          <w:tcPr>
            <w:tcW w:w="4195" w:type="dxa"/>
            <w:tcBorders>
              <w:top w:val="single" w:sz="4" w:space="0" w:color="auto"/>
            </w:tcBorders>
            <w:shd w:val="clear" w:color="auto" w:fill="auto"/>
            <w:noWrap/>
            <w:hideMark/>
          </w:tcPr>
          <w:p w:rsidR="001B4686" w:rsidRPr="001B4686" w:rsidRDefault="001B4686" w:rsidP="001B4686">
            <w:pPr>
              <w:spacing w:after="0"/>
              <w:jc w:val="both"/>
              <w:rPr>
                <w:b/>
                <w:sz w:val="20"/>
              </w:rPr>
            </w:pPr>
            <w:r w:rsidRPr="001B4686">
              <w:rPr>
                <w:b/>
                <w:sz w:val="20"/>
              </w:rPr>
              <w:t>Aspects économiques</w:t>
            </w:r>
          </w:p>
        </w:tc>
        <w:tc>
          <w:tcPr>
            <w:tcW w:w="4989" w:type="dxa"/>
            <w:tcBorders>
              <w:top w:val="single" w:sz="4" w:space="0" w:color="auto"/>
            </w:tcBorders>
            <w:shd w:val="clear" w:color="auto" w:fill="auto"/>
            <w:noWrap/>
            <w:hideMark/>
          </w:tcPr>
          <w:p w:rsidR="001B4686" w:rsidRPr="001B4686" w:rsidRDefault="001B4686" w:rsidP="001B4686">
            <w:pPr>
              <w:spacing w:after="0"/>
              <w:jc w:val="both"/>
              <w:rPr>
                <w:sz w:val="20"/>
              </w:rPr>
            </w:pPr>
          </w:p>
        </w:tc>
      </w:tr>
      <w:tr w:rsidR="001B4686" w:rsidRPr="001B4686" w:rsidTr="001A4A0C">
        <w:trPr>
          <w:trHeight w:val="283"/>
        </w:trPr>
        <w:tc>
          <w:tcPr>
            <w:tcW w:w="4195" w:type="dxa"/>
            <w:shd w:val="clear" w:color="auto" w:fill="auto"/>
            <w:noWrap/>
            <w:hideMark/>
          </w:tcPr>
          <w:p w:rsidR="001B4686" w:rsidRPr="001B4686" w:rsidRDefault="001B4686" w:rsidP="001B4686">
            <w:pPr>
              <w:spacing w:after="0"/>
              <w:jc w:val="both"/>
              <w:rPr>
                <w:sz w:val="20"/>
              </w:rPr>
            </w:pPr>
            <w:r w:rsidRPr="001B4686">
              <w:rPr>
                <w:sz w:val="20"/>
              </w:rPr>
              <w:t>Valorisation supérieure du lait</w:t>
            </w:r>
          </w:p>
        </w:tc>
        <w:tc>
          <w:tcPr>
            <w:tcW w:w="4989" w:type="dxa"/>
            <w:shd w:val="clear" w:color="auto" w:fill="auto"/>
            <w:noWrap/>
            <w:hideMark/>
          </w:tcPr>
          <w:p w:rsidR="001B4686" w:rsidRPr="001B4686" w:rsidRDefault="001B4686" w:rsidP="001B4686">
            <w:pPr>
              <w:spacing w:after="0"/>
              <w:jc w:val="both"/>
              <w:rPr>
                <w:sz w:val="20"/>
              </w:rPr>
            </w:pPr>
            <w:r w:rsidRPr="001B4686">
              <w:rPr>
                <w:sz w:val="20"/>
              </w:rPr>
              <w:t>Décalage prix du lait – coûts</w:t>
            </w:r>
            <w:r>
              <w:rPr>
                <w:sz w:val="20"/>
              </w:rPr>
              <w:t xml:space="preserve"> de production</w:t>
            </w:r>
            <w:r w:rsidRPr="001B4686">
              <w:rPr>
                <w:sz w:val="20"/>
              </w:rPr>
              <w:t xml:space="preserve"> (paysage)</w:t>
            </w:r>
          </w:p>
        </w:tc>
      </w:tr>
      <w:tr w:rsidR="001B4686" w:rsidRPr="001B4686" w:rsidTr="001A4A0C">
        <w:trPr>
          <w:trHeight w:val="283"/>
        </w:trPr>
        <w:tc>
          <w:tcPr>
            <w:tcW w:w="4195" w:type="dxa"/>
            <w:tcBorders>
              <w:bottom w:val="dotDash" w:sz="4" w:space="0" w:color="auto"/>
            </w:tcBorders>
            <w:shd w:val="clear" w:color="auto" w:fill="auto"/>
            <w:noWrap/>
            <w:hideMark/>
          </w:tcPr>
          <w:p w:rsidR="001B4686" w:rsidRPr="001B4686" w:rsidRDefault="001B4686" w:rsidP="001B4686">
            <w:pPr>
              <w:spacing w:after="0"/>
              <w:jc w:val="both"/>
              <w:rPr>
                <w:sz w:val="20"/>
              </w:rPr>
            </w:pPr>
            <w:r w:rsidRPr="001B4686">
              <w:rPr>
                <w:sz w:val="20"/>
              </w:rPr>
              <w:t>Stabilité du prix du lait</w:t>
            </w:r>
          </w:p>
        </w:tc>
        <w:tc>
          <w:tcPr>
            <w:tcW w:w="4989" w:type="dxa"/>
            <w:tcBorders>
              <w:bottom w:val="dotDash" w:sz="4" w:space="0" w:color="auto"/>
            </w:tcBorders>
            <w:shd w:val="clear" w:color="auto" w:fill="auto"/>
            <w:noWrap/>
            <w:hideMark/>
          </w:tcPr>
          <w:p w:rsidR="001B4686" w:rsidRPr="001B4686" w:rsidRDefault="001B4686" w:rsidP="001B4686">
            <w:pPr>
              <w:spacing w:after="0"/>
              <w:jc w:val="both"/>
              <w:rPr>
                <w:sz w:val="20"/>
              </w:rPr>
            </w:pPr>
            <w:r w:rsidRPr="001B4686">
              <w:rPr>
                <w:sz w:val="20"/>
              </w:rPr>
              <w:t>Volatilité du prix du lait (paysage)</w:t>
            </w:r>
          </w:p>
        </w:tc>
      </w:tr>
      <w:tr w:rsidR="001B4686" w:rsidRPr="001B4686" w:rsidTr="001A4A0C">
        <w:trPr>
          <w:trHeight w:val="283"/>
        </w:trPr>
        <w:tc>
          <w:tcPr>
            <w:tcW w:w="4195" w:type="dxa"/>
            <w:tcBorders>
              <w:top w:val="dotDash" w:sz="4" w:space="0" w:color="auto"/>
            </w:tcBorders>
            <w:shd w:val="clear" w:color="auto" w:fill="auto"/>
            <w:hideMark/>
          </w:tcPr>
          <w:p w:rsidR="001B4686" w:rsidRPr="001B4686" w:rsidRDefault="001B4686" w:rsidP="001B4686">
            <w:pPr>
              <w:spacing w:after="0"/>
              <w:jc w:val="both"/>
              <w:rPr>
                <w:b/>
                <w:sz w:val="20"/>
              </w:rPr>
            </w:pPr>
            <w:r w:rsidRPr="001B4686">
              <w:rPr>
                <w:b/>
                <w:sz w:val="20"/>
              </w:rPr>
              <w:t>Aspects relationnels</w:t>
            </w:r>
          </w:p>
        </w:tc>
        <w:tc>
          <w:tcPr>
            <w:tcW w:w="4989" w:type="dxa"/>
            <w:tcBorders>
              <w:top w:val="dotDash" w:sz="4" w:space="0" w:color="auto"/>
            </w:tcBorders>
            <w:shd w:val="clear" w:color="auto" w:fill="auto"/>
            <w:noWrap/>
            <w:hideMark/>
          </w:tcPr>
          <w:p w:rsidR="001B4686" w:rsidRPr="001B4686" w:rsidRDefault="001B4686" w:rsidP="001B4686">
            <w:pPr>
              <w:spacing w:after="0"/>
              <w:jc w:val="both"/>
              <w:rPr>
                <w:sz w:val="20"/>
              </w:rPr>
            </w:pPr>
          </w:p>
        </w:tc>
      </w:tr>
      <w:tr w:rsidR="001B4686" w:rsidRPr="001B4686" w:rsidTr="001A4A0C">
        <w:trPr>
          <w:trHeight w:val="454"/>
        </w:trPr>
        <w:tc>
          <w:tcPr>
            <w:tcW w:w="4195" w:type="dxa"/>
            <w:shd w:val="clear" w:color="auto" w:fill="auto"/>
            <w:hideMark/>
          </w:tcPr>
          <w:p w:rsidR="001B4686" w:rsidRPr="001B4686" w:rsidRDefault="001B4686" w:rsidP="001B4686">
            <w:pPr>
              <w:spacing w:after="0"/>
              <w:ind w:left="170" w:hanging="170"/>
              <w:rPr>
                <w:sz w:val="20"/>
              </w:rPr>
            </w:pPr>
            <w:r w:rsidRPr="001B4686">
              <w:rPr>
                <w:sz w:val="20"/>
              </w:rPr>
              <w:t>Perte du pouvoir de négociation</w:t>
            </w:r>
            <w:r>
              <w:rPr>
                <w:sz w:val="20"/>
              </w:rPr>
              <w:t xml:space="preserve"> </w:t>
            </w:r>
            <w:r w:rsidRPr="001B4686">
              <w:rPr>
                <w:sz w:val="20"/>
              </w:rPr>
              <w:t>et de décision</w:t>
            </w:r>
          </w:p>
        </w:tc>
        <w:tc>
          <w:tcPr>
            <w:tcW w:w="4989" w:type="dxa"/>
            <w:shd w:val="clear" w:color="auto" w:fill="auto"/>
            <w:hideMark/>
          </w:tcPr>
          <w:p w:rsidR="001B4686" w:rsidRDefault="001B4686" w:rsidP="001B4686">
            <w:pPr>
              <w:spacing w:after="0"/>
              <w:rPr>
                <w:sz w:val="20"/>
              </w:rPr>
            </w:pPr>
            <w:r w:rsidRPr="001B4686">
              <w:rPr>
                <w:sz w:val="20"/>
              </w:rPr>
              <w:t>Relations de pouvoir entre la laiterie</w:t>
            </w:r>
            <w:r>
              <w:rPr>
                <w:sz w:val="20"/>
              </w:rPr>
              <w:t xml:space="preserve"> </w:t>
            </w:r>
            <w:r w:rsidRPr="001B4686">
              <w:rPr>
                <w:sz w:val="20"/>
              </w:rPr>
              <w:t>et</w:t>
            </w:r>
          </w:p>
          <w:p w:rsidR="001B4686" w:rsidRPr="001B4686" w:rsidRDefault="001B4686" w:rsidP="001B4686">
            <w:pPr>
              <w:spacing w:after="0"/>
              <w:ind w:left="170"/>
              <w:rPr>
                <w:sz w:val="20"/>
              </w:rPr>
            </w:pPr>
            <w:r w:rsidRPr="001B4686">
              <w:rPr>
                <w:sz w:val="20"/>
              </w:rPr>
              <w:t>l'éleveur (régime)</w:t>
            </w:r>
          </w:p>
        </w:tc>
      </w:tr>
      <w:tr w:rsidR="001B4686" w:rsidRPr="001B4686" w:rsidTr="001A4A0C">
        <w:trPr>
          <w:trHeight w:val="283"/>
        </w:trPr>
        <w:tc>
          <w:tcPr>
            <w:tcW w:w="4195" w:type="dxa"/>
            <w:tcBorders>
              <w:bottom w:val="dotDash" w:sz="4" w:space="0" w:color="auto"/>
            </w:tcBorders>
            <w:shd w:val="clear" w:color="auto" w:fill="auto"/>
            <w:hideMark/>
          </w:tcPr>
          <w:p w:rsidR="001B4686" w:rsidRPr="001B4686" w:rsidRDefault="001B4686" w:rsidP="001B4686">
            <w:pPr>
              <w:spacing w:after="0"/>
              <w:jc w:val="both"/>
              <w:rPr>
                <w:sz w:val="20"/>
              </w:rPr>
            </w:pPr>
            <w:r w:rsidRPr="001B4686">
              <w:rPr>
                <w:sz w:val="20"/>
              </w:rPr>
              <w:t>Perte de contrôle du produit fini</w:t>
            </w:r>
          </w:p>
        </w:tc>
        <w:tc>
          <w:tcPr>
            <w:tcW w:w="4989" w:type="dxa"/>
            <w:tcBorders>
              <w:bottom w:val="dotDash" w:sz="4" w:space="0" w:color="auto"/>
            </w:tcBorders>
            <w:shd w:val="clear" w:color="auto" w:fill="auto"/>
            <w:hideMark/>
          </w:tcPr>
          <w:p w:rsidR="001B4686" w:rsidRPr="001B4686" w:rsidRDefault="001B4686" w:rsidP="001B4686">
            <w:pPr>
              <w:spacing w:after="0"/>
              <w:jc w:val="both"/>
              <w:rPr>
                <w:sz w:val="20"/>
              </w:rPr>
            </w:pPr>
            <w:r w:rsidRPr="001B4686">
              <w:rPr>
                <w:sz w:val="20"/>
              </w:rPr>
              <w:t>Séparation production - commercialisation (régime)</w:t>
            </w:r>
          </w:p>
        </w:tc>
      </w:tr>
      <w:tr w:rsidR="001B4686" w:rsidRPr="001B4686" w:rsidTr="001A4A0C">
        <w:trPr>
          <w:trHeight w:val="283"/>
        </w:trPr>
        <w:tc>
          <w:tcPr>
            <w:tcW w:w="4195" w:type="dxa"/>
            <w:tcBorders>
              <w:top w:val="dotDash" w:sz="4" w:space="0" w:color="auto"/>
            </w:tcBorders>
            <w:shd w:val="clear" w:color="auto" w:fill="auto"/>
            <w:noWrap/>
            <w:hideMark/>
          </w:tcPr>
          <w:p w:rsidR="001B4686" w:rsidRPr="001B4686" w:rsidRDefault="001B4686" w:rsidP="001B4686">
            <w:pPr>
              <w:spacing w:after="0"/>
              <w:jc w:val="both"/>
              <w:rPr>
                <w:b/>
                <w:sz w:val="20"/>
              </w:rPr>
            </w:pPr>
            <w:r w:rsidRPr="001B4686">
              <w:rPr>
                <w:b/>
                <w:sz w:val="20"/>
              </w:rPr>
              <w:t>Opportunités de contexte</w:t>
            </w:r>
          </w:p>
        </w:tc>
        <w:tc>
          <w:tcPr>
            <w:tcW w:w="4989" w:type="dxa"/>
            <w:tcBorders>
              <w:top w:val="dotDash" w:sz="4" w:space="0" w:color="auto"/>
            </w:tcBorders>
            <w:shd w:val="clear" w:color="auto" w:fill="auto"/>
            <w:noWrap/>
            <w:hideMark/>
          </w:tcPr>
          <w:p w:rsidR="001B4686" w:rsidRPr="001B4686" w:rsidRDefault="001B4686" w:rsidP="001B4686">
            <w:pPr>
              <w:spacing w:after="0"/>
              <w:jc w:val="both"/>
              <w:rPr>
                <w:sz w:val="20"/>
              </w:rPr>
            </w:pPr>
          </w:p>
        </w:tc>
      </w:tr>
      <w:tr w:rsidR="001B4686" w:rsidRPr="001B4686" w:rsidTr="001B4686">
        <w:trPr>
          <w:trHeight w:val="283"/>
        </w:trPr>
        <w:tc>
          <w:tcPr>
            <w:tcW w:w="4195" w:type="dxa"/>
            <w:shd w:val="clear" w:color="auto" w:fill="auto"/>
            <w:noWrap/>
            <w:hideMark/>
          </w:tcPr>
          <w:p w:rsidR="001B4686" w:rsidRPr="001B4686" w:rsidRDefault="001B4686" w:rsidP="001B4686">
            <w:pPr>
              <w:spacing w:after="0"/>
              <w:jc w:val="both"/>
              <w:rPr>
                <w:sz w:val="20"/>
              </w:rPr>
            </w:pPr>
            <w:r w:rsidRPr="001B4686">
              <w:rPr>
                <w:sz w:val="20"/>
              </w:rPr>
              <w:t>Demande issue d'une fromagerie (L)</w:t>
            </w:r>
          </w:p>
        </w:tc>
        <w:tc>
          <w:tcPr>
            <w:tcW w:w="4989" w:type="dxa"/>
            <w:shd w:val="clear" w:color="auto" w:fill="auto"/>
            <w:noWrap/>
            <w:hideMark/>
          </w:tcPr>
          <w:p w:rsidR="001B4686" w:rsidRPr="001B4686" w:rsidRDefault="001B4686" w:rsidP="001B4686">
            <w:pPr>
              <w:spacing w:after="0"/>
              <w:jc w:val="both"/>
              <w:rPr>
                <w:sz w:val="20"/>
              </w:rPr>
            </w:pPr>
            <w:r w:rsidRPr="001B4686">
              <w:rPr>
                <w:sz w:val="20"/>
              </w:rPr>
              <w:t>Relations entre acteurs (niche)</w:t>
            </w:r>
          </w:p>
        </w:tc>
      </w:tr>
      <w:tr w:rsidR="001B4686" w:rsidRPr="001B4686" w:rsidTr="001A4A0C">
        <w:trPr>
          <w:trHeight w:val="283"/>
        </w:trPr>
        <w:tc>
          <w:tcPr>
            <w:tcW w:w="4195" w:type="dxa"/>
            <w:shd w:val="clear" w:color="auto" w:fill="auto"/>
            <w:noWrap/>
          </w:tcPr>
          <w:p w:rsidR="001B4686" w:rsidRPr="001B4686" w:rsidRDefault="001B4686" w:rsidP="001B4686">
            <w:pPr>
              <w:spacing w:after="0"/>
              <w:jc w:val="both"/>
              <w:rPr>
                <w:sz w:val="20"/>
              </w:rPr>
            </w:pPr>
            <w:r w:rsidRPr="001B4686">
              <w:rPr>
                <w:sz w:val="20"/>
              </w:rPr>
              <w:t>Proximité géographique d’une fromagerie (L)</w:t>
            </w:r>
          </w:p>
        </w:tc>
        <w:tc>
          <w:tcPr>
            <w:tcW w:w="4989" w:type="dxa"/>
            <w:shd w:val="clear" w:color="auto" w:fill="auto"/>
            <w:noWrap/>
          </w:tcPr>
          <w:p w:rsidR="001B4686" w:rsidRPr="001B4686" w:rsidRDefault="001B4686" w:rsidP="001B4686">
            <w:pPr>
              <w:spacing w:after="0"/>
              <w:jc w:val="both"/>
              <w:rPr>
                <w:sz w:val="20"/>
              </w:rPr>
            </w:pPr>
          </w:p>
        </w:tc>
      </w:tr>
      <w:tr w:rsidR="001B4686" w:rsidRPr="001B4686" w:rsidTr="001A4A0C">
        <w:trPr>
          <w:trHeight w:val="283"/>
        </w:trPr>
        <w:tc>
          <w:tcPr>
            <w:tcW w:w="4195" w:type="dxa"/>
            <w:tcBorders>
              <w:bottom w:val="dotDash" w:sz="4" w:space="0" w:color="auto"/>
            </w:tcBorders>
            <w:shd w:val="clear" w:color="auto" w:fill="auto"/>
            <w:noWrap/>
            <w:hideMark/>
          </w:tcPr>
          <w:p w:rsidR="001B4686" w:rsidRPr="001B4686" w:rsidRDefault="001B4686" w:rsidP="001B4686">
            <w:pPr>
              <w:spacing w:after="0"/>
              <w:jc w:val="both"/>
              <w:rPr>
                <w:sz w:val="20"/>
              </w:rPr>
            </w:pPr>
            <w:r w:rsidRPr="001B4686">
              <w:rPr>
                <w:sz w:val="20"/>
              </w:rPr>
              <w:t>Reprise d'une structure existante (T)</w:t>
            </w:r>
          </w:p>
        </w:tc>
        <w:tc>
          <w:tcPr>
            <w:tcW w:w="4989" w:type="dxa"/>
            <w:tcBorders>
              <w:bottom w:val="dotDash" w:sz="4" w:space="0" w:color="auto"/>
            </w:tcBorders>
            <w:shd w:val="clear" w:color="auto" w:fill="auto"/>
            <w:noWrap/>
            <w:hideMark/>
          </w:tcPr>
          <w:p w:rsidR="001B4686" w:rsidRPr="001B4686" w:rsidRDefault="001B4686" w:rsidP="001B4686">
            <w:pPr>
              <w:spacing w:after="0"/>
              <w:jc w:val="both"/>
              <w:rPr>
                <w:sz w:val="20"/>
              </w:rPr>
            </w:pPr>
          </w:p>
        </w:tc>
      </w:tr>
      <w:tr w:rsidR="001B4686" w:rsidRPr="001B4686" w:rsidTr="001A4A0C">
        <w:trPr>
          <w:trHeight w:val="283"/>
        </w:trPr>
        <w:tc>
          <w:tcPr>
            <w:tcW w:w="4195" w:type="dxa"/>
            <w:tcBorders>
              <w:top w:val="dotDash" w:sz="4" w:space="0" w:color="auto"/>
            </w:tcBorders>
            <w:shd w:val="clear" w:color="auto" w:fill="auto"/>
            <w:noWrap/>
            <w:hideMark/>
          </w:tcPr>
          <w:p w:rsidR="001B4686" w:rsidRPr="001B4686" w:rsidRDefault="001B4686" w:rsidP="001B4686">
            <w:pPr>
              <w:spacing w:after="0"/>
              <w:jc w:val="both"/>
              <w:rPr>
                <w:b/>
                <w:sz w:val="20"/>
              </w:rPr>
            </w:pPr>
            <w:r w:rsidRPr="001B4686">
              <w:rPr>
                <w:b/>
                <w:sz w:val="20"/>
              </w:rPr>
              <w:t>Opportunités structurelles</w:t>
            </w:r>
          </w:p>
        </w:tc>
        <w:tc>
          <w:tcPr>
            <w:tcW w:w="4989" w:type="dxa"/>
            <w:vMerge w:val="restart"/>
            <w:tcBorders>
              <w:top w:val="dotDash" w:sz="4" w:space="0" w:color="auto"/>
            </w:tcBorders>
            <w:shd w:val="clear" w:color="auto" w:fill="auto"/>
            <w:vAlign w:val="center"/>
            <w:hideMark/>
          </w:tcPr>
          <w:p w:rsidR="001B4686" w:rsidRPr="001B4686" w:rsidRDefault="001B4686" w:rsidP="001B4686">
            <w:pPr>
              <w:spacing w:after="0"/>
              <w:jc w:val="both"/>
              <w:rPr>
                <w:sz w:val="20"/>
              </w:rPr>
            </w:pPr>
            <w:r w:rsidRPr="001B4686">
              <w:rPr>
                <w:sz w:val="20"/>
              </w:rPr>
              <w:t>Adéquation entre la structure de l'exploitation et les demandes de la niche</w:t>
            </w:r>
          </w:p>
        </w:tc>
      </w:tr>
      <w:tr w:rsidR="001B4686" w:rsidRPr="001B4686" w:rsidTr="001B4686">
        <w:trPr>
          <w:trHeight w:val="283"/>
        </w:trPr>
        <w:tc>
          <w:tcPr>
            <w:tcW w:w="4195" w:type="dxa"/>
            <w:shd w:val="clear" w:color="auto" w:fill="auto"/>
            <w:noWrap/>
            <w:hideMark/>
          </w:tcPr>
          <w:p w:rsidR="001B4686" w:rsidRPr="001B4686" w:rsidRDefault="001B4686" w:rsidP="001B4686">
            <w:pPr>
              <w:spacing w:after="0"/>
              <w:jc w:val="both"/>
              <w:rPr>
                <w:sz w:val="20"/>
              </w:rPr>
            </w:pPr>
            <w:r w:rsidRPr="001B4686">
              <w:rPr>
                <w:sz w:val="20"/>
              </w:rPr>
              <w:t>Caractéristiques de l'exploitation</w:t>
            </w:r>
          </w:p>
        </w:tc>
        <w:tc>
          <w:tcPr>
            <w:tcW w:w="4989" w:type="dxa"/>
            <w:vMerge/>
            <w:shd w:val="clear" w:color="auto" w:fill="auto"/>
            <w:hideMark/>
          </w:tcPr>
          <w:p w:rsidR="001B4686" w:rsidRPr="001B4686" w:rsidRDefault="001B4686" w:rsidP="001B4686">
            <w:pPr>
              <w:spacing w:after="0"/>
              <w:jc w:val="both"/>
              <w:rPr>
                <w:sz w:val="20"/>
              </w:rPr>
            </w:pPr>
          </w:p>
        </w:tc>
      </w:tr>
      <w:tr w:rsidR="001B4686" w:rsidRPr="001B4686" w:rsidTr="001B4686">
        <w:trPr>
          <w:trHeight w:val="283"/>
        </w:trPr>
        <w:tc>
          <w:tcPr>
            <w:tcW w:w="4195" w:type="dxa"/>
            <w:shd w:val="clear" w:color="auto" w:fill="auto"/>
            <w:noWrap/>
            <w:hideMark/>
          </w:tcPr>
          <w:p w:rsidR="001B4686" w:rsidRPr="001B4686" w:rsidRDefault="001B4686" w:rsidP="001B4686">
            <w:pPr>
              <w:spacing w:after="0"/>
              <w:jc w:val="both"/>
              <w:rPr>
                <w:sz w:val="20"/>
              </w:rPr>
            </w:pPr>
            <w:r w:rsidRPr="001B4686">
              <w:rPr>
                <w:sz w:val="20"/>
              </w:rPr>
              <w:t>Disponibilité de main d'œuvre (T)</w:t>
            </w:r>
          </w:p>
        </w:tc>
        <w:tc>
          <w:tcPr>
            <w:tcW w:w="4989" w:type="dxa"/>
            <w:vMerge/>
            <w:shd w:val="clear" w:color="auto" w:fill="auto"/>
            <w:hideMark/>
          </w:tcPr>
          <w:p w:rsidR="001B4686" w:rsidRPr="001B4686" w:rsidRDefault="001B4686" w:rsidP="001B4686">
            <w:pPr>
              <w:spacing w:after="0"/>
              <w:jc w:val="both"/>
              <w:rPr>
                <w:sz w:val="20"/>
              </w:rPr>
            </w:pPr>
          </w:p>
        </w:tc>
      </w:tr>
      <w:tr w:rsidR="001B4686" w:rsidRPr="001B4686" w:rsidTr="001B4686">
        <w:trPr>
          <w:trHeight w:val="283"/>
        </w:trPr>
        <w:tc>
          <w:tcPr>
            <w:tcW w:w="4195" w:type="dxa"/>
            <w:tcBorders>
              <w:bottom w:val="single" w:sz="4" w:space="0" w:color="auto"/>
            </w:tcBorders>
            <w:shd w:val="clear" w:color="auto" w:fill="auto"/>
            <w:noWrap/>
            <w:hideMark/>
          </w:tcPr>
          <w:p w:rsidR="001B4686" w:rsidRPr="001B4686" w:rsidRDefault="001B4686" w:rsidP="001B4686">
            <w:pPr>
              <w:spacing w:after="0"/>
              <w:jc w:val="both"/>
              <w:rPr>
                <w:sz w:val="20"/>
              </w:rPr>
            </w:pPr>
            <w:r w:rsidRPr="001B4686">
              <w:rPr>
                <w:sz w:val="20"/>
              </w:rPr>
              <w:t>Disponibilité de connaissances (T)</w:t>
            </w:r>
          </w:p>
        </w:tc>
        <w:tc>
          <w:tcPr>
            <w:tcW w:w="4989" w:type="dxa"/>
            <w:vMerge/>
            <w:tcBorders>
              <w:bottom w:val="single" w:sz="4" w:space="0" w:color="auto"/>
            </w:tcBorders>
            <w:shd w:val="clear" w:color="auto" w:fill="auto"/>
            <w:hideMark/>
          </w:tcPr>
          <w:p w:rsidR="001B4686" w:rsidRPr="001B4686" w:rsidRDefault="001B4686" w:rsidP="001B4686">
            <w:pPr>
              <w:spacing w:after="0"/>
              <w:jc w:val="both"/>
              <w:rPr>
                <w:sz w:val="20"/>
              </w:rPr>
            </w:pPr>
          </w:p>
        </w:tc>
      </w:tr>
    </w:tbl>
    <w:p w:rsidR="001B4686" w:rsidRPr="001B4686" w:rsidRDefault="001B4686" w:rsidP="006854D9">
      <w:pPr>
        <w:spacing w:before="120" w:after="240"/>
        <w:jc w:val="both"/>
        <w:rPr>
          <w:sz w:val="20"/>
        </w:rPr>
      </w:pPr>
      <w:r w:rsidRPr="001B4686">
        <w:rPr>
          <w:sz w:val="20"/>
        </w:rPr>
        <w:t>L : éléments concernant exclusivement les éleveurs livrant leur lait à une fromagerie ; T : éléments concernant exclusivement les éleveurs réalisant la transformation à la ferme.</w:t>
      </w:r>
    </w:p>
    <w:p w:rsidR="001B4686" w:rsidRPr="00CB6A3A" w:rsidRDefault="00CB6A3A" w:rsidP="00CB6A3A">
      <w:pPr>
        <w:ind w:firstLine="708"/>
        <w:jc w:val="both"/>
        <w:rPr>
          <w:i/>
        </w:rPr>
      </w:pPr>
      <w:proofErr w:type="gramStart"/>
      <w:r w:rsidRPr="00CB6A3A">
        <w:rPr>
          <w:i/>
        </w:rPr>
        <w:t>4.b</w:t>
      </w:r>
      <w:proofErr w:type="gramEnd"/>
      <w:r w:rsidRPr="00CB6A3A">
        <w:rPr>
          <w:i/>
        </w:rPr>
        <w:t>. Facteurs de succès</w:t>
      </w:r>
    </w:p>
    <w:p w:rsidR="00C567BE" w:rsidRDefault="00C567BE" w:rsidP="00C567BE">
      <w:pPr>
        <w:jc w:val="both"/>
      </w:pPr>
      <w:r>
        <w:t>D</w:t>
      </w:r>
      <w:r w:rsidRPr="00C567BE">
        <w:t xml:space="preserve">ifférents facteurs </w:t>
      </w:r>
      <w:r>
        <w:t>ont</w:t>
      </w:r>
      <w:r w:rsidRPr="00C567BE">
        <w:t xml:space="preserve"> permis le succès des éleveurs interrogés en termes d’engagement dans un circuit alternatif de commercialisation de leur production. Ces facteurs ont été regroupés en six catégories : la qualité des fromages produits, </w:t>
      </w:r>
      <w:r w:rsidR="00CC3107">
        <w:t>l’adaptation de certaines</w:t>
      </w:r>
      <w:r w:rsidRPr="00C567BE">
        <w:t xml:space="preserve"> pratiques agricoles, </w:t>
      </w:r>
      <w:r w:rsidR="00CC3107">
        <w:t>le développement de</w:t>
      </w:r>
      <w:r w:rsidRPr="00C567BE">
        <w:t xml:space="preserve"> connaissances </w:t>
      </w:r>
      <w:r w:rsidR="00CC3107">
        <w:t xml:space="preserve">pratiques </w:t>
      </w:r>
      <w:r w:rsidRPr="00C567BE">
        <w:t xml:space="preserve">et </w:t>
      </w:r>
      <w:r w:rsidR="00CC3107">
        <w:t>de</w:t>
      </w:r>
      <w:r w:rsidRPr="00C567BE">
        <w:t xml:space="preserve"> compétences </w:t>
      </w:r>
      <w:r w:rsidR="00CC3107">
        <w:t>stratégiques et relationnelles</w:t>
      </w:r>
      <w:r w:rsidRPr="00C567BE">
        <w:t>, la gestion des réglementations</w:t>
      </w:r>
      <w:r>
        <w:t xml:space="preserve"> sanitaires</w:t>
      </w:r>
      <w:r w:rsidRPr="00C567BE">
        <w:t>, les relations entretenues par les éleveurs avec d’autres acteurs de l’aval de la filière et le rôle du consommateur.</w:t>
      </w:r>
      <w:r>
        <w:t xml:space="preserve"> Ces facteurs de succès montrent la nécessité d’opérer une rupture vis-à-vis du régime, pour garantir la réussite du changement de circuit de commercialisation. Cette rupture implique des changements pratiques (l’utilisation d’une race à vocation fromagère, plutôt que la race Holstein</w:t>
      </w:r>
      <w:r w:rsidR="008B5EAF">
        <w:t>, par exemple</w:t>
      </w:r>
      <w:r>
        <w:t>) et relationnels (</w:t>
      </w:r>
      <w:r w:rsidR="008B5EAF">
        <w:t xml:space="preserve">notamment, </w:t>
      </w:r>
      <w:r>
        <w:t xml:space="preserve">le développement de relations de confiance avec la structure en aval, plutôt que la présence de relations de pouvoir). Ces changements sont parfois liés </w:t>
      </w:r>
      <w:r w:rsidR="008B5EAF">
        <w:t>à</w:t>
      </w:r>
      <w:r>
        <w:t xml:space="preserve"> des conceptions de l’éleveur</w:t>
      </w:r>
      <w:r w:rsidR="008B5EAF">
        <w:t xml:space="preserve"> se différenciant de celles en vigueur dans le régime</w:t>
      </w:r>
      <w:r>
        <w:t>, en termes d’objectif de production (objectif d’autonomie plutôt que de productivité</w:t>
      </w:r>
      <w:r w:rsidR="008B5EAF">
        <w:t>,</w:t>
      </w:r>
      <w:r>
        <w:t xml:space="preserve"> par exemple) et de relation avec l’aval de la filière.</w:t>
      </w:r>
      <w:r w:rsidR="00FA0091">
        <w:t xml:space="preserve"> Dans notre étude de cas, </w:t>
      </w:r>
      <w:r w:rsidR="008B5EAF">
        <w:t>la différenciation de ces conceptions</w:t>
      </w:r>
      <w:r w:rsidR="00FA0091">
        <w:t xml:space="preserve"> semble </w:t>
      </w:r>
      <w:r w:rsidR="008B5EAF">
        <w:t xml:space="preserve">constituer </w:t>
      </w:r>
      <w:r w:rsidR="00FA0091">
        <w:t>un prérequis à un changement holistique du système de production.</w:t>
      </w:r>
    </w:p>
    <w:p w:rsidR="006854D9" w:rsidRDefault="007807CB" w:rsidP="006854D9">
      <w:pPr>
        <w:pStyle w:val="Paragraphedeliste"/>
        <w:numPr>
          <w:ilvl w:val="0"/>
          <w:numId w:val="1"/>
        </w:numPr>
        <w:jc w:val="both"/>
      </w:pPr>
      <w:r>
        <w:t>Perspectives</w:t>
      </w:r>
    </w:p>
    <w:p w:rsidR="006854D9" w:rsidRPr="00C567BE" w:rsidRDefault="00A40C85" w:rsidP="007807CB">
      <w:pPr>
        <w:jc w:val="both"/>
      </w:pPr>
      <w:r>
        <w:t xml:space="preserve">Les circuits alternatifs de commercialisation sont </w:t>
      </w:r>
      <w:r w:rsidR="00C36EAE">
        <w:t>connus pour permettre</w:t>
      </w:r>
      <w:r>
        <w:t xml:space="preserve"> aux agriculteurs </w:t>
      </w:r>
      <w:r w:rsidR="007807CB">
        <w:t xml:space="preserve">d’obtenir un « juste prix » pour leurs produits, par opposition au circuit conventionnel dans </w:t>
      </w:r>
      <w:r w:rsidR="007807CB">
        <w:lastRenderedPageBreak/>
        <w:t xml:space="preserve">lequel ils ont peu de pouvoir de négociation. </w:t>
      </w:r>
      <w:r>
        <w:t>Dans ce travail, nous identifions</w:t>
      </w:r>
      <w:r w:rsidR="00FA0091">
        <w:t xml:space="preserve"> les éléments déclencheurs (</w:t>
      </w:r>
      <w:r w:rsidR="00FA0091" w:rsidRPr="00B71EA6">
        <w:rPr>
          <w:i/>
        </w:rPr>
        <w:t>drivers</w:t>
      </w:r>
      <w:r w:rsidR="00FA0091">
        <w:t>) expliquant l’engagement des agriculteurs dans de telles voies alternatives</w:t>
      </w:r>
      <w:r w:rsidR="007807CB">
        <w:t xml:space="preserve"> ainsi que les facteurs favorisant la réussite de ces expériences</w:t>
      </w:r>
      <w:r w:rsidR="00FA0091">
        <w:t xml:space="preserve">. </w:t>
      </w:r>
      <w:r w:rsidR="007807CB">
        <w:t>Dans un objectif de promotion de ces circuits alternatifs, nos résultats soulignent l’importance d’investir dans les</w:t>
      </w:r>
      <w:r w:rsidR="007807CB" w:rsidRPr="007807CB">
        <w:t xml:space="preserve"> </w:t>
      </w:r>
      <w:r w:rsidR="007807CB">
        <w:t xml:space="preserve">connaissances pratiques </w:t>
      </w:r>
      <w:r w:rsidR="00C36EAE">
        <w:t>spécifique</w:t>
      </w:r>
      <w:r w:rsidR="007807CB">
        <w:t>s</w:t>
      </w:r>
      <w:r w:rsidR="00C36EAE">
        <w:t xml:space="preserve"> au circuit fromager</w:t>
      </w:r>
      <w:r w:rsidR="007807CB">
        <w:t xml:space="preserve">, de même que dans les </w:t>
      </w:r>
      <w:r w:rsidR="007807CB" w:rsidRPr="007807CB">
        <w:t xml:space="preserve">compétences stratégiques (recherche d’opportunités, gestion, créativité) et relationnelles (capacité de négociation, par exemple) </w:t>
      </w:r>
      <w:r w:rsidR="007807CB">
        <w:t>des éleveurs</w:t>
      </w:r>
      <w:r w:rsidR="007807CB" w:rsidRPr="007807CB">
        <w:t>.</w:t>
      </w:r>
      <w:r w:rsidR="007807CB">
        <w:t xml:space="preserve"> </w:t>
      </w:r>
      <w:r w:rsidR="00CC3107">
        <w:t>Pour y parvenir, il s’agirait notamment de</w:t>
      </w:r>
      <w:bookmarkStart w:id="2" w:name="_GoBack"/>
      <w:bookmarkEnd w:id="2"/>
      <w:r w:rsidR="000652AB">
        <w:t xml:space="preserve"> favoriser </w:t>
      </w:r>
      <w:r w:rsidR="00C36EAE">
        <w:t xml:space="preserve">les échanges d’expérience entre éleveurs </w:t>
      </w:r>
      <w:r w:rsidR="000652AB">
        <w:t>en s</w:t>
      </w:r>
      <w:r w:rsidR="00C36EAE">
        <w:t>tructura</w:t>
      </w:r>
      <w:r w:rsidR="000652AB">
        <w:t>nt un</w:t>
      </w:r>
      <w:r w:rsidR="00C36EAE">
        <w:t xml:space="preserve"> réseau</w:t>
      </w:r>
      <w:r w:rsidR="000652AB">
        <w:t xml:space="preserve"> d’acteurs</w:t>
      </w:r>
      <w:r w:rsidR="00C36EAE">
        <w:t xml:space="preserve"> s’articulant autour du concept de circuit alternatif.</w:t>
      </w:r>
    </w:p>
    <w:p w:rsidR="001263C4" w:rsidRDefault="001263C4" w:rsidP="001263C4">
      <w:pPr>
        <w:pStyle w:val="Paragraphedeliste"/>
        <w:numPr>
          <w:ilvl w:val="0"/>
          <w:numId w:val="1"/>
        </w:numPr>
        <w:jc w:val="both"/>
      </w:pPr>
      <w:r>
        <w:t>Bibliographie indicative</w:t>
      </w:r>
    </w:p>
    <w:p w:rsidR="0080284C" w:rsidRPr="0080284C" w:rsidRDefault="0080284C" w:rsidP="0080284C">
      <w:pPr>
        <w:pStyle w:val="Bibliographie"/>
        <w:jc w:val="both"/>
        <w:rPr>
          <w:rFonts w:cs="Arial"/>
          <w:szCs w:val="24"/>
        </w:rPr>
      </w:pPr>
      <w:r>
        <w:fldChar w:fldCharType="begin"/>
      </w:r>
      <w:r>
        <w:instrText xml:space="preserve"> ADDIN ZOTERO_BIBL {"custom":[[["http://zotero.org/users/503973/items/S5DZJWJE"],"Bidaud, F., 2013. Transitions vers la double performance\\uc0\\u8239{}: quelques approches sociologiques de la diffusion des pratiques agro\\uc0\\u233{}cologiques. http://agriculture.gouv.fr/IMG/pdf/Analyse_CEP_63_Transitions_vers_la_double_performance_cle8627ba.pdf (consult\\uc0\\u233{} le 14/11/2013)."],[["http://zotero.org/users/503973/items/QWCRNGQB"],"Blesh, J., Wolf, S.A., 2014. Transitions to agroecological farming systems in the Mississippi River Basin: toward an integrated socioecological analysis. Agricu. Human Values http://dx.doi.org/10.1007/s10460-014-9517-3"],[["http://zotero.org/users/503973/items/AZJ9PJPX"],"Comeau, Y., 1994. L\\uc0\\u8217{}analyse des donn\\uc0\\u233{}es qualitatives. https://depot.erudit.org/bitstream/001759dd/1/ET9402. pdf (consult\\uc0\\u233{} le 12/09/2013)."],[["http://zotero.org/users/503973/items/XBGQGN6T"],"Duru, M., Faresa, M., Theronda, O., 2014. A conceptual framework for thinking now (and organising tomorrow) the agroecological transition at the level of the territory. Cah. Agric. 23, 84\\uc0\\u8211{}95."],[["http://zotero.org/users/503973/items/R7VIXMBE"],"Hinrichs, C.C., 2014. Transitions to sustainability: a change in thinking about food systems change? Agric. Human Values http://dx.doi.org/10.1007/ s10460-014-9479-5"],[["http://zotero.org/users/503973/items/MACZQ4UF"],"Huang, R., 2011. RQDA: R-based Qualitative Data Analysis. http://rqda.r-forge.r-project.org/ (consult\\uc0\\u233{} le 03/12/2012)."],[["http://zotero.org/users/503973/items/D99Q5P6P"],"Lamine, C., 2011. Transition pathways towards a robust ecologization of agriculture and the need for system redesign. Cases from organic farming and IPM. J. Rural Stud. 27, 209\\uc0\\u8211{}219."],[["http://zotero.org/groups/52814/items/BS25MRS2"],"Seyfang, G., Longhurst, N., 2013. Desperately seeking niches: Grassroots innovations and niche development in the community currency field. Glob. Environ. Change 23, 881\\uc0\\u8211{}891."],[["http://zotero.org/users/503973/items/GIJM6BVG"],"Verbong, G.P.J., Geels, F.W., 2010. Exploring sustainability transitions in the electricity sector with socio-technical pathways. Technol. Forecast. Soc. Change 77, 1214\\uc0\\u8211{}1221."]]} CSL_BIBLIOGRAPHY </w:instrText>
      </w:r>
      <w:r>
        <w:fldChar w:fldCharType="separate"/>
      </w:r>
      <w:r w:rsidRPr="0080284C">
        <w:rPr>
          <w:rFonts w:cs="Arial"/>
          <w:szCs w:val="24"/>
        </w:rPr>
        <w:t>Bidaud, F., 2013. Transitions vers la double performance : quelques approches sociolo</w:t>
      </w:r>
      <w:r>
        <w:rPr>
          <w:rFonts w:cs="Arial"/>
          <w:szCs w:val="24"/>
        </w:rPr>
        <w:t>-</w:t>
      </w:r>
      <w:r w:rsidRPr="0080284C">
        <w:rPr>
          <w:rFonts w:cs="Arial"/>
          <w:szCs w:val="24"/>
        </w:rPr>
        <w:t>giques de la diffusion des pratiques agroécologiques. http://agriculture.gouv.fr/IMG/</w:t>
      </w:r>
      <w:r>
        <w:rPr>
          <w:rFonts w:cs="Arial"/>
          <w:szCs w:val="24"/>
        </w:rPr>
        <w:t xml:space="preserve"> </w:t>
      </w:r>
      <w:r w:rsidRPr="0080284C">
        <w:rPr>
          <w:rFonts w:cs="Arial"/>
          <w:szCs w:val="24"/>
        </w:rPr>
        <w:t>pdf/Analyse_CEP_63_Transitions_vers_la_double_performance_cle8627ba.pdf (consulté le 14/11/2013).</w:t>
      </w:r>
    </w:p>
    <w:p w:rsidR="0080284C" w:rsidRPr="0080284C" w:rsidRDefault="0080284C" w:rsidP="0080284C">
      <w:pPr>
        <w:pStyle w:val="Bibliographie"/>
        <w:jc w:val="both"/>
        <w:rPr>
          <w:rFonts w:cs="Arial"/>
          <w:szCs w:val="24"/>
          <w:lang w:val="en-US"/>
        </w:rPr>
      </w:pPr>
      <w:r w:rsidRPr="0080284C">
        <w:rPr>
          <w:rFonts w:cs="Arial"/>
          <w:szCs w:val="24"/>
          <w:lang w:val="en-US"/>
        </w:rPr>
        <w:t>Blesh, J., Wolf, S.A., 2014. Transitions to agroecological farming systems in the Mississippi River Basin: toward an integrated socioecological analysis. Agric. Human Values http://dx.doi.org/10.1007/s10460-014-9517-3</w:t>
      </w:r>
    </w:p>
    <w:p w:rsidR="0080284C" w:rsidRPr="0080284C" w:rsidRDefault="0080284C" w:rsidP="0080284C">
      <w:pPr>
        <w:pStyle w:val="Bibliographie"/>
        <w:jc w:val="both"/>
        <w:rPr>
          <w:rFonts w:cs="Arial"/>
          <w:szCs w:val="24"/>
        </w:rPr>
      </w:pPr>
      <w:r w:rsidRPr="0080284C">
        <w:rPr>
          <w:rFonts w:cs="Arial"/>
          <w:szCs w:val="24"/>
          <w:lang w:val="en-US"/>
        </w:rPr>
        <w:t xml:space="preserve">Comeau, Y., 1994. </w:t>
      </w:r>
      <w:r w:rsidRPr="0080284C">
        <w:rPr>
          <w:rFonts w:cs="Arial"/>
          <w:szCs w:val="24"/>
        </w:rPr>
        <w:t>L’analyse des données qualitatives. https://depot.erudit.o</w:t>
      </w:r>
      <w:r>
        <w:rPr>
          <w:rFonts w:cs="Arial"/>
          <w:szCs w:val="24"/>
        </w:rPr>
        <w:t>rg/bitstream /001759dd/1/ET9402.</w:t>
      </w:r>
      <w:r w:rsidRPr="0080284C">
        <w:rPr>
          <w:rFonts w:cs="Arial"/>
          <w:szCs w:val="24"/>
        </w:rPr>
        <w:t>pdf (consulté le 12/09/2013).</w:t>
      </w:r>
    </w:p>
    <w:p w:rsidR="0080284C" w:rsidRPr="0080284C" w:rsidRDefault="0080284C" w:rsidP="0080284C">
      <w:pPr>
        <w:pStyle w:val="Bibliographie"/>
        <w:jc w:val="both"/>
        <w:rPr>
          <w:rFonts w:cs="Arial"/>
          <w:szCs w:val="24"/>
          <w:lang w:val="en-US"/>
        </w:rPr>
      </w:pPr>
      <w:r w:rsidRPr="0080284C">
        <w:rPr>
          <w:rFonts w:cs="Arial"/>
          <w:szCs w:val="24"/>
          <w:lang w:val="en-US"/>
        </w:rPr>
        <w:t>Duru, M., Faresa, M., Theronda, O., 2014. A conceptual framework for thinking now (and organising tomorrow) the agroecological transition at the level of the territory. Cah. Agric. 23, 84–95.</w:t>
      </w:r>
    </w:p>
    <w:p w:rsidR="0080284C" w:rsidRPr="0080284C" w:rsidRDefault="0080284C" w:rsidP="0080284C">
      <w:pPr>
        <w:pStyle w:val="Bibliographie"/>
        <w:jc w:val="both"/>
        <w:rPr>
          <w:rFonts w:cs="Arial"/>
          <w:szCs w:val="24"/>
          <w:lang w:val="en-US"/>
        </w:rPr>
      </w:pPr>
      <w:r w:rsidRPr="0080284C">
        <w:rPr>
          <w:rFonts w:cs="Arial"/>
          <w:szCs w:val="24"/>
          <w:lang w:val="en-US"/>
        </w:rPr>
        <w:t>Hinrichs, C.C., 2014. Transitions to sustainability: a change in thinking about food systems change? Agric. Human Values http://dx.doi.org/10.1007/ s10460-014-9479-5</w:t>
      </w:r>
    </w:p>
    <w:p w:rsidR="0080284C" w:rsidRPr="0080284C" w:rsidRDefault="0080284C" w:rsidP="0080284C">
      <w:pPr>
        <w:pStyle w:val="Bibliographie"/>
        <w:jc w:val="both"/>
        <w:rPr>
          <w:rFonts w:cs="Arial"/>
          <w:szCs w:val="24"/>
        </w:rPr>
      </w:pPr>
      <w:r w:rsidRPr="0080284C">
        <w:rPr>
          <w:rFonts w:cs="Arial"/>
          <w:szCs w:val="24"/>
          <w:lang w:val="en-US"/>
        </w:rPr>
        <w:t xml:space="preserve">Huang, R., 2011. </w:t>
      </w:r>
      <w:r w:rsidRPr="0080284C">
        <w:rPr>
          <w:rFonts w:cs="Arial"/>
          <w:szCs w:val="24"/>
        </w:rPr>
        <w:t>RQDA: R-based Qualitative Data Analysis. http://rqda.r-forge.r-project.org/ (consulté le 03/12/2012).</w:t>
      </w:r>
    </w:p>
    <w:p w:rsidR="0080284C" w:rsidRPr="0080284C" w:rsidRDefault="0080284C" w:rsidP="0080284C">
      <w:pPr>
        <w:pStyle w:val="Bibliographie"/>
        <w:jc w:val="both"/>
        <w:rPr>
          <w:rFonts w:cs="Arial"/>
          <w:szCs w:val="24"/>
          <w:lang w:val="en-US"/>
        </w:rPr>
      </w:pPr>
      <w:r w:rsidRPr="0080284C">
        <w:rPr>
          <w:rFonts w:cs="Arial"/>
          <w:szCs w:val="24"/>
          <w:lang w:val="en-US"/>
        </w:rPr>
        <w:t>Lamine, C., 2011. Transition pathways towards a robust ecologization of agriculture and the need for system redesign. Cases from organic farming and IPM. J. Rural Stud. 27, 209–219.</w:t>
      </w:r>
    </w:p>
    <w:p w:rsidR="0080284C" w:rsidRPr="0080284C" w:rsidRDefault="0080284C" w:rsidP="0080284C">
      <w:pPr>
        <w:pStyle w:val="Bibliographie"/>
        <w:jc w:val="both"/>
        <w:rPr>
          <w:rFonts w:cs="Arial"/>
          <w:szCs w:val="24"/>
          <w:lang w:val="en-US"/>
        </w:rPr>
      </w:pPr>
      <w:r w:rsidRPr="0080284C">
        <w:rPr>
          <w:rFonts w:cs="Arial"/>
          <w:szCs w:val="24"/>
          <w:lang w:val="en-US"/>
        </w:rPr>
        <w:t>Lamine, C., Bellon, S., 2009. Conversion to organic farming: A multidimensional research object at the crossroads of agricultural and social sciences. A review. Agron. Sustain. Dev. 29, 97–112.</w:t>
      </w:r>
    </w:p>
    <w:p w:rsidR="0080284C" w:rsidRPr="0080284C" w:rsidRDefault="0080284C" w:rsidP="0080284C">
      <w:pPr>
        <w:pStyle w:val="Bibliographie"/>
        <w:jc w:val="both"/>
        <w:rPr>
          <w:rFonts w:cs="Arial"/>
          <w:szCs w:val="24"/>
        </w:rPr>
      </w:pPr>
      <w:r w:rsidRPr="0080284C">
        <w:rPr>
          <w:rFonts w:cs="Arial"/>
          <w:szCs w:val="24"/>
          <w:lang w:val="en-US"/>
        </w:rPr>
        <w:t xml:space="preserve">Seyfang, G., Longhurst, N., 2013. Desperately seeking niches: Grassroots innovations and niche development in the community currency field. </w:t>
      </w:r>
      <w:r w:rsidRPr="0080284C">
        <w:rPr>
          <w:rFonts w:cs="Arial"/>
          <w:szCs w:val="24"/>
        </w:rPr>
        <w:t>Glob. Environ. Change 23, 881–891.</w:t>
      </w:r>
    </w:p>
    <w:p w:rsidR="0080284C" w:rsidRPr="0080284C" w:rsidRDefault="0080284C" w:rsidP="0012285D">
      <w:pPr>
        <w:pStyle w:val="Bibliographie"/>
        <w:jc w:val="both"/>
        <w:rPr>
          <w:rFonts w:cs="Arial"/>
          <w:szCs w:val="24"/>
        </w:rPr>
      </w:pPr>
      <w:r w:rsidRPr="0080284C">
        <w:rPr>
          <w:rFonts w:cs="Arial"/>
          <w:szCs w:val="24"/>
        </w:rPr>
        <w:t>SPW - DGARNE, 2007. Etude du secteur laitier wallon. Synthèse et annexes. Direction générale de l’Agriculture, des Ressources naturelles et de l’environnement, Namur.</w:t>
      </w:r>
    </w:p>
    <w:p w:rsidR="001263C4" w:rsidRPr="00EC17C4" w:rsidRDefault="0080284C" w:rsidP="0012285D">
      <w:pPr>
        <w:pStyle w:val="Bibliographie"/>
        <w:jc w:val="both"/>
      </w:pPr>
      <w:r w:rsidRPr="0080284C">
        <w:rPr>
          <w:rFonts w:cs="Arial"/>
          <w:szCs w:val="24"/>
          <w:lang w:val="en-US"/>
        </w:rPr>
        <w:t xml:space="preserve">Verbong, G.P.J., Geels, F.W., 2010. Exploring sustainability transitions in the electricity sector with socio-technical pathways. </w:t>
      </w:r>
      <w:r w:rsidRPr="0080284C">
        <w:rPr>
          <w:rFonts w:cs="Arial"/>
          <w:szCs w:val="24"/>
        </w:rPr>
        <w:t>Technol. Forecast. Soc. Change 77, 1214–1221.</w:t>
      </w:r>
      <w:r>
        <w:fldChar w:fldCharType="end"/>
      </w:r>
    </w:p>
    <w:sectPr w:rsidR="001263C4" w:rsidRPr="00EC17C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73" w:rsidRDefault="00557273" w:rsidP="003241D6">
      <w:pPr>
        <w:spacing w:after="0" w:line="240" w:lineRule="auto"/>
      </w:pPr>
      <w:r>
        <w:separator/>
      </w:r>
    </w:p>
  </w:endnote>
  <w:endnote w:type="continuationSeparator" w:id="0">
    <w:p w:rsidR="00557273" w:rsidRDefault="00557273" w:rsidP="0032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407968"/>
      <w:docPartObj>
        <w:docPartGallery w:val="Page Numbers (Bottom of Page)"/>
        <w:docPartUnique/>
      </w:docPartObj>
    </w:sdtPr>
    <w:sdtEndPr/>
    <w:sdtContent>
      <w:p w:rsidR="0075115C" w:rsidRDefault="0075115C">
        <w:pPr>
          <w:pStyle w:val="Pieddepage"/>
          <w:jc w:val="center"/>
        </w:pPr>
        <w:r>
          <w:fldChar w:fldCharType="begin"/>
        </w:r>
        <w:r>
          <w:instrText>PAGE   \* MERGEFORMAT</w:instrText>
        </w:r>
        <w:r>
          <w:fldChar w:fldCharType="separate"/>
        </w:r>
        <w:r w:rsidR="00CC3107" w:rsidRPr="00CC3107">
          <w:rPr>
            <w:noProof/>
            <w:lang w:val="fr-FR"/>
          </w:rPr>
          <w:t>4</w:t>
        </w:r>
        <w:r>
          <w:fldChar w:fldCharType="end"/>
        </w:r>
      </w:p>
    </w:sdtContent>
  </w:sdt>
  <w:p w:rsidR="0075115C" w:rsidRDefault="007511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73" w:rsidRDefault="00557273" w:rsidP="003241D6">
      <w:pPr>
        <w:spacing w:after="0" w:line="240" w:lineRule="auto"/>
      </w:pPr>
      <w:r>
        <w:separator/>
      </w:r>
    </w:p>
  </w:footnote>
  <w:footnote w:type="continuationSeparator" w:id="0">
    <w:p w:rsidR="00557273" w:rsidRDefault="00557273" w:rsidP="00324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09D4"/>
    <w:multiLevelType w:val="hybridMultilevel"/>
    <w:tmpl w:val="3F6CA5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98"/>
    <w:rsid w:val="000652AB"/>
    <w:rsid w:val="0012285D"/>
    <w:rsid w:val="001263C4"/>
    <w:rsid w:val="001A4A0C"/>
    <w:rsid w:val="001B4686"/>
    <w:rsid w:val="002639EC"/>
    <w:rsid w:val="0030698F"/>
    <w:rsid w:val="00320FAD"/>
    <w:rsid w:val="003241D6"/>
    <w:rsid w:val="00557273"/>
    <w:rsid w:val="00625F59"/>
    <w:rsid w:val="00643074"/>
    <w:rsid w:val="006854D9"/>
    <w:rsid w:val="006902EA"/>
    <w:rsid w:val="00692C43"/>
    <w:rsid w:val="006D2E1E"/>
    <w:rsid w:val="00706F67"/>
    <w:rsid w:val="0075115C"/>
    <w:rsid w:val="007807CB"/>
    <w:rsid w:val="007E388E"/>
    <w:rsid w:val="0080284C"/>
    <w:rsid w:val="00863055"/>
    <w:rsid w:val="008B5EAF"/>
    <w:rsid w:val="008E4347"/>
    <w:rsid w:val="00A40C85"/>
    <w:rsid w:val="00B71EA6"/>
    <w:rsid w:val="00C21045"/>
    <w:rsid w:val="00C36EAE"/>
    <w:rsid w:val="00C45CED"/>
    <w:rsid w:val="00C55A98"/>
    <w:rsid w:val="00C567BE"/>
    <w:rsid w:val="00CB6A3A"/>
    <w:rsid w:val="00CC3107"/>
    <w:rsid w:val="00DB3774"/>
    <w:rsid w:val="00E0670F"/>
    <w:rsid w:val="00EC17C4"/>
    <w:rsid w:val="00F062F7"/>
    <w:rsid w:val="00F437B7"/>
    <w:rsid w:val="00F72DB3"/>
    <w:rsid w:val="00FA00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5C"/>
    <w:rPr>
      <w:rFonts w:ascii="Arial" w:hAnsi="Arial"/>
    </w:rPr>
  </w:style>
  <w:style w:type="paragraph" w:styleId="Titre1">
    <w:name w:val="heading 1"/>
    <w:basedOn w:val="Normal"/>
    <w:next w:val="Normal"/>
    <w:link w:val="Titre1Car"/>
    <w:uiPriority w:val="9"/>
    <w:qFormat/>
    <w:rsid w:val="00C55A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5A98"/>
    <w:rPr>
      <w:color w:val="0000FF" w:themeColor="hyperlink"/>
      <w:u w:val="single"/>
    </w:rPr>
  </w:style>
  <w:style w:type="character" w:customStyle="1" w:styleId="Titre1Car">
    <w:name w:val="Titre 1 Car"/>
    <w:basedOn w:val="Policepardfaut"/>
    <w:link w:val="Titre1"/>
    <w:uiPriority w:val="9"/>
    <w:rsid w:val="00C55A9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55A98"/>
    <w:pPr>
      <w:ind w:left="720"/>
      <w:contextualSpacing/>
    </w:pPr>
  </w:style>
  <w:style w:type="paragraph" w:styleId="Notedebasdepage">
    <w:name w:val="footnote text"/>
    <w:basedOn w:val="Normal"/>
    <w:link w:val="NotedebasdepageCar"/>
    <w:uiPriority w:val="99"/>
    <w:semiHidden/>
    <w:unhideWhenUsed/>
    <w:rsid w:val="003241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241D6"/>
    <w:rPr>
      <w:sz w:val="20"/>
      <w:szCs w:val="20"/>
    </w:rPr>
  </w:style>
  <w:style w:type="character" w:styleId="Appelnotedebasdep">
    <w:name w:val="footnote reference"/>
    <w:uiPriority w:val="99"/>
    <w:rsid w:val="003241D6"/>
    <w:rPr>
      <w:vertAlign w:val="superscript"/>
    </w:rPr>
  </w:style>
  <w:style w:type="paragraph" w:styleId="En-tte">
    <w:name w:val="header"/>
    <w:basedOn w:val="Normal"/>
    <w:link w:val="En-tteCar"/>
    <w:uiPriority w:val="99"/>
    <w:unhideWhenUsed/>
    <w:rsid w:val="0075115C"/>
    <w:pPr>
      <w:tabs>
        <w:tab w:val="center" w:pos="4536"/>
        <w:tab w:val="right" w:pos="9072"/>
      </w:tabs>
      <w:spacing w:after="0" w:line="240" w:lineRule="auto"/>
    </w:pPr>
  </w:style>
  <w:style w:type="character" w:customStyle="1" w:styleId="En-tteCar">
    <w:name w:val="En-tête Car"/>
    <w:basedOn w:val="Policepardfaut"/>
    <w:link w:val="En-tte"/>
    <w:uiPriority w:val="99"/>
    <w:rsid w:val="0075115C"/>
  </w:style>
  <w:style w:type="paragraph" w:styleId="Pieddepage">
    <w:name w:val="footer"/>
    <w:basedOn w:val="Normal"/>
    <w:link w:val="PieddepageCar"/>
    <w:uiPriority w:val="99"/>
    <w:unhideWhenUsed/>
    <w:rsid w:val="007511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115C"/>
  </w:style>
  <w:style w:type="paragraph" w:styleId="Bibliographie">
    <w:name w:val="Bibliography"/>
    <w:basedOn w:val="Normal"/>
    <w:next w:val="Normal"/>
    <w:uiPriority w:val="37"/>
    <w:unhideWhenUsed/>
    <w:rsid w:val="0080284C"/>
    <w:pPr>
      <w:spacing w:after="0"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5C"/>
    <w:rPr>
      <w:rFonts w:ascii="Arial" w:hAnsi="Arial"/>
    </w:rPr>
  </w:style>
  <w:style w:type="paragraph" w:styleId="Titre1">
    <w:name w:val="heading 1"/>
    <w:basedOn w:val="Normal"/>
    <w:next w:val="Normal"/>
    <w:link w:val="Titre1Car"/>
    <w:uiPriority w:val="9"/>
    <w:qFormat/>
    <w:rsid w:val="00C55A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5A98"/>
    <w:rPr>
      <w:color w:val="0000FF" w:themeColor="hyperlink"/>
      <w:u w:val="single"/>
    </w:rPr>
  </w:style>
  <w:style w:type="character" w:customStyle="1" w:styleId="Titre1Car">
    <w:name w:val="Titre 1 Car"/>
    <w:basedOn w:val="Policepardfaut"/>
    <w:link w:val="Titre1"/>
    <w:uiPriority w:val="9"/>
    <w:rsid w:val="00C55A9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55A98"/>
    <w:pPr>
      <w:ind w:left="720"/>
      <w:contextualSpacing/>
    </w:pPr>
  </w:style>
  <w:style w:type="paragraph" w:styleId="Notedebasdepage">
    <w:name w:val="footnote text"/>
    <w:basedOn w:val="Normal"/>
    <w:link w:val="NotedebasdepageCar"/>
    <w:uiPriority w:val="99"/>
    <w:semiHidden/>
    <w:unhideWhenUsed/>
    <w:rsid w:val="003241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241D6"/>
    <w:rPr>
      <w:sz w:val="20"/>
      <w:szCs w:val="20"/>
    </w:rPr>
  </w:style>
  <w:style w:type="character" w:styleId="Appelnotedebasdep">
    <w:name w:val="footnote reference"/>
    <w:uiPriority w:val="99"/>
    <w:rsid w:val="003241D6"/>
    <w:rPr>
      <w:vertAlign w:val="superscript"/>
    </w:rPr>
  </w:style>
  <w:style w:type="paragraph" w:styleId="En-tte">
    <w:name w:val="header"/>
    <w:basedOn w:val="Normal"/>
    <w:link w:val="En-tteCar"/>
    <w:uiPriority w:val="99"/>
    <w:unhideWhenUsed/>
    <w:rsid w:val="0075115C"/>
    <w:pPr>
      <w:tabs>
        <w:tab w:val="center" w:pos="4536"/>
        <w:tab w:val="right" w:pos="9072"/>
      </w:tabs>
      <w:spacing w:after="0" w:line="240" w:lineRule="auto"/>
    </w:pPr>
  </w:style>
  <w:style w:type="character" w:customStyle="1" w:styleId="En-tteCar">
    <w:name w:val="En-tête Car"/>
    <w:basedOn w:val="Policepardfaut"/>
    <w:link w:val="En-tte"/>
    <w:uiPriority w:val="99"/>
    <w:rsid w:val="0075115C"/>
  </w:style>
  <w:style w:type="paragraph" w:styleId="Pieddepage">
    <w:name w:val="footer"/>
    <w:basedOn w:val="Normal"/>
    <w:link w:val="PieddepageCar"/>
    <w:uiPriority w:val="99"/>
    <w:unhideWhenUsed/>
    <w:rsid w:val="007511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115C"/>
  </w:style>
  <w:style w:type="paragraph" w:styleId="Bibliographie">
    <w:name w:val="Bibliography"/>
    <w:basedOn w:val="Normal"/>
    <w:next w:val="Normal"/>
    <w:uiPriority w:val="37"/>
    <w:unhideWhenUsed/>
    <w:rsid w:val="0080284C"/>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5661</Words>
  <Characters>31140</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36728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SIWS</dc:creator>
  <cp:lastModifiedBy>SIWS</cp:lastModifiedBy>
  <cp:revision>18</cp:revision>
  <dcterms:created xsi:type="dcterms:W3CDTF">2014-11-27T07:38:00Z</dcterms:created>
  <dcterms:modified xsi:type="dcterms:W3CDTF">2014-11-28T12:41:00Z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zotero-version="4.0.23.1"&gt;&lt;session id="xK2CMjVb"/&gt;&lt;style id="http://www.zotero.org/styles/agriculture-ecosystems-and-environment" hasBibliography="1" bibliographyStyleHasBeenSet="1"/&gt;&lt;prefs&gt;&lt;pref name="fieldType" value="Field"/&gt;&lt;pre</vt:lpwstr>
  </property>
  <property fmtid="{D5CDD505-2E9C-101B-9397-08002B2CF9AE}" pid="3" name="ZOTERO_PREF_2">
    <vt:lpwstr>f name="storeReferences" value="true"/&gt;&lt;pref name="automaticJournalAbbreviations" value="true"/&gt;&lt;pref name="noteType" value="0"/&gt;&lt;/prefs&gt;&lt;/data&gt;</vt:lpwstr>
  </property>
</Properties>
</file>